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8342" w14:textId="75373EA9" w:rsidR="007B20FE" w:rsidRPr="00645B61" w:rsidRDefault="00654717" w:rsidP="00D32662">
      <w:pPr>
        <w:pStyle w:val="Heading1"/>
        <w:rPr>
          <w:b/>
          <w:bCs/>
          <w:sz w:val="22"/>
          <w:szCs w:val="22"/>
        </w:rPr>
      </w:pPr>
      <w:r w:rsidRPr="00645B61">
        <w:rPr>
          <w:b/>
          <w:bCs/>
          <w:sz w:val="22"/>
          <w:szCs w:val="22"/>
        </w:rPr>
        <w:t xml:space="preserve">Central Falls </w:t>
      </w:r>
      <w:r w:rsidR="007B20FE" w:rsidRPr="00645B61">
        <w:rPr>
          <w:b/>
          <w:bCs/>
          <w:sz w:val="22"/>
          <w:szCs w:val="22"/>
        </w:rPr>
        <w:t>City Council</w:t>
      </w:r>
    </w:p>
    <w:p w14:paraId="1A2255A4" w14:textId="77777777" w:rsidR="007B20FE" w:rsidRPr="00645B61" w:rsidRDefault="007B20FE" w:rsidP="00D32662">
      <w:pPr>
        <w:jc w:val="center"/>
        <w:rPr>
          <w:b/>
          <w:bCs/>
          <w:sz w:val="22"/>
          <w:szCs w:val="22"/>
        </w:rPr>
      </w:pPr>
      <w:r w:rsidRPr="00645B61">
        <w:rPr>
          <w:b/>
          <w:bCs/>
          <w:sz w:val="22"/>
          <w:szCs w:val="22"/>
        </w:rPr>
        <w:t>Notice of Public Hearing</w:t>
      </w:r>
    </w:p>
    <w:p w14:paraId="323C462D" w14:textId="1D966CD4" w:rsidR="007B20FE" w:rsidRPr="00645B61" w:rsidRDefault="009C22B4" w:rsidP="00D32662">
      <w:pPr>
        <w:jc w:val="center"/>
        <w:rPr>
          <w:b/>
          <w:bCs/>
          <w:sz w:val="22"/>
          <w:szCs w:val="22"/>
        </w:rPr>
      </w:pPr>
      <w:r w:rsidRPr="00645B61">
        <w:rPr>
          <w:b/>
          <w:bCs/>
          <w:sz w:val="22"/>
          <w:szCs w:val="22"/>
        </w:rPr>
        <w:t xml:space="preserve">Zoning Ordinance </w:t>
      </w:r>
      <w:r w:rsidR="00D32662" w:rsidRPr="00645B61">
        <w:rPr>
          <w:b/>
          <w:bCs/>
          <w:sz w:val="22"/>
          <w:szCs w:val="22"/>
        </w:rPr>
        <w:t>Amendment</w:t>
      </w:r>
      <w:r w:rsidR="00A601F7" w:rsidRPr="00645B61">
        <w:rPr>
          <w:b/>
          <w:bCs/>
          <w:sz w:val="22"/>
          <w:szCs w:val="22"/>
        </w:rPr>
        <w:t>s</w:t>
      </w:r>
    </w:p>
    <w:p w14:paraId="4D5CFEC5" w14:textId="77777777" w:rsidR="007B20FE" w:rsidRPr="00BF54CB" w:rsidRDefault="007B20FE" w:rsidP="00D32662">
      <w:pPr>
        <w:jc w:val="both"/>
        <w:rPr>
          <w:sz w:val="22"/>
          <w:szCs w:val="22"/>
        </w:rPr>
      </w:pPr>
    </w:p>
    <w:p w14:paraId="49D04CF0" w14:textId="57691CF9" w:rsidR="00BB12D7" w:rsidRDefault="007B20FE" w:rsidP="00D32662">
      <w:pPr>
        <w:pStyle w:val="BodyText"/>
        <w:jc w:val="both"/>
        <w:rPr>
          <w:sz w:val="22"/>
          <w:szCs w:val="22"/>
        </w:rPr>
      </w:pPr>
      <w:r w:rsidRPr="00BF54CB">
        <w:rPr>
          <w:sz w:val="22"/>
          <w:szCs w:val="22"/>
        </w:rPr>
        <w:t xml:space="preserve">The </w:t>
      </w:r>
      <w:r w:rsidR="000066E0">
        <w:rPr>
          <w:sz w:val="22"/>
          <w:szCs w:val="22"/>
        </w:rPr>
        <w:t xml:space="preserve">Central Falls </w:t>
      </w:r>
      <w:r w:rsidRPr="00BF54CB">
        <w:rPr>
          <w:sz w:val="22"/>
          <w:szCs w:val="22"/>
        </w:rPr>
        <w:t>City Council will hold</w:t>
      </w:r>
      <w:r w:rsidR="00843FFC">
        <w:rPr>
          <w:sz w:val="22"/>
          <w:szCs w:val="22"/>
        </w:rPr>
        <w:t xml:space="preserve"> </w:t>
      </w:r>
      <w:r w:rsidR="00E85F91">
        <w:rPr>
          <w:sz w:val="22"/>
          <w:szCs w:val="22"/>
        </w:rPr>
        <w:t xml:space="preserve">a </w:t>
      </w:r>
      <w:r w:rsidRPr="00BF54CB">
        <w:rPr>
          <w:sz w:val="22"/>
          <w:szCs w:val="22"/>
        </w:rPr>
        <w:t xml:space="preserve">public hearing on </w:t>
      </w:r>
      <w:r w:rsidR="005B7C3E" w:rsidRPr="00BF54CB">
        <w:rPr>
          <w:sz w:val="22"/>
          <w:szCs w:val="22"/>
        </w:rPr>
        <w:t>p</w:t>
      </w:r>
      <w:r w:rsidRPr="00BF54CB">
        <w:rPr>
          <w:sz w:val="22"/>
          <w:szCs w:val="22"/>
        </w:rPr>
        <w:t>roposed amendment</w:t>
      </w:r>
      <w:r w:rsidR="005B7C3E" w:rsidRPr="00BF54CB">
        <w:rPr>
          <w:sz w:val="22"/>
          <w:szCs w:val="22"/>
        </w:rPr>
        <w:t>s</w:t>
      </w:r>
      <w:r w:rsidRPr="00BF54CB">
        <w:rPr>
          <w:sz w:val="22"/>
          <w:szCs w:val="22"/>
        </w:rPr>
        <w:t xml:space="preserve"> </w:t>
      </w:r>
      <w:r w:rsidR="00A601F7" w:rsidRPr="00BF54CB">
        <w:rPr>
          <w:sz w:val="22"/>
          <w:szCs w:val="22"/>
        </w:rPr>
        <w:t>to</w:t>
      </w:r>
      <w:r w:rsidR="00A601F7">
        <w:rPr>
          <w:sz w:val="22"/>
          <w:szCs w:val="22"/>
        </w:rPr>
        <w:t xml:space="preserve"> Appendix A of the Code of Ordinances Titled “Zoning” </w:t>
      </w:r>
      <w:r w:rsidR="00A601F7" w:rsidRPr="00D76C9F">
        <w:rPr>
          <w:sz w:val="22"/>
          <w:szCs w:val="22"/>
        </w:rPr>
        <w:t xml:space="preserve">on </w:t>
      </w:r>
      <w:r w:rsidR="00843FFC">
        <w:rPr>
          <w:sz w:val="22"/>
          <w:szCs w:val="22"/>
        </w:rPr>
        <w:t>Wednesday</w:t>
      </w:r>
      <w:r w:rsidR="00A601F7" w:rsidRPr="00D76C9F">
        <w:rPr>
          <w:sz w:val="22"/>
          <w:szCs w:val="22"/>
        </w:rPr>
        <w:t xml:space="preserve">, </w:t>
      </w:r>
      <w:r w:rsidR="00843FFC">
        <w:rPr>
          <w:sz w:val="22"/>
          <w:szCs w:val="22"/>
        </w:rPr>
        <w:t>June 5</w:t>
      </w:r>
      <w:r w:rsidR="00A601F7" w:rsidRPr="00D76C9F">
        <w:rPr>
          <w:sz w:val="22"/>
          <w:szCs w:val="22"/>
        </w:rPr>
        <w:t>,</w:t>
      </w:r>
      <w:r w:rsidR="00A601F7" w:rsidRPr="00C63CA9">
        <w:rPr>
          <w:sz w:val="22"/>
          <w:szCs w:val="22"/>
        </w:rPr>
        <w:t xml:space="preserve"> </w:t>
      </w:r>
      <w:r w:rsidR="00EC23E5" w:rsidRPr="00C63CA9">
        <w:rPr>
          <w:sz w:val="22"/>
          <w:szCs w:val="22"/>
        </w:rPr>
        <w:t>202</w:t>
      </w:r>
      <w:r w:rsidR="00EC23E5">
        <w:rPr>
          <w:sz w:val="22"/>
          <w:szCs w:val="22"/>
        </w:rPr>
        <w:t>4,</w:t>
      </w:r>
      <w:r w:rsidR="00A601F7" w:rsidRPr="00C63CA9">
        <w:rPr>
          <w:sz w:val="22"/>
          <w:szCs w:val="22"/>
        </w:rPr>
        <w:t xml:space="preserve"> at 6:00</w:t>
      </w:r>
      <w:r w:rsidR="00A601F7" w:rsidRPr="00BF54CB">
        <w:rPr>
          <w:sz w:val="22"/>
          <w:szCs w:val="22"/>
        </w:rPr>
        <w:t xml:space="preserve"> </w:t>
      </w:r>
      <w:r w:rsidR="00BB12D7" w:rsidRPr="00BF54CB">
        <w:rPr>
          <w:sz w:val="22"/>
          <w:szCs w:val="22"/>
        </w:rPr>
        <w:t>pm</w:t>
      </w:r>
      <w:r w:rsidR="00BB12D7">
        <w:rPr>
          <w:sz w:val="22"/>
          <w:szCs w:val="22"/>
        </w:rPr>
        <w:t xml:space="preserve"> </w:t>
      </w:r>
      <w:r w:rsidR="00BB12D7" w:rsidRPr="00BB12D7">
        <w:rPr>
          <w:sz w:val="22"/>
          <w:szCs w:val="22"/>
        </w:rPr>
        <w:t>at City Hall, Council Chambers, 2nd Floor, 580 Broad Street, Central Falls, RI.</w:t>
      </w:r>
      <w:r w:rsidR="00BB12D7">
        <w:rPr>
          <w:sz w:val="22"/>
          <w:szCs w:val="22"/>
        </w:rPr>
        <w:t xml:space="preserve"> </w:t>
      </w:r>
      <w:r w:rsidR="00C455C8">
        <w:rPr>
          <w:sz w:val="22"/>
          <w:szCs w:val="22"/>
        </w:rPr>
        <w:t>O</w:t>
      </w:r>
      <w:r w:rsidR="00C455C8" w:rsidRPr="00FE314C">
        <w:rPr>
          <w:sz w:val="22"/>
          <w:szCs w:val="22"/>
        </w:rPr>
        <w:t>pportunity shall be given to all persons interested to be heard upon the matter of the proposed ordinance</w:t>
      </w:r>
      <w:r w:rsidR="00C455C8">
        <w:rPr>
          <w:sz w:val="22"/>
          <w:szCs w:val="22"/>
        </w:rPr>
        <w:t>.</w:t>
      </w:r>
    </w:p>
    <w:p w14:paraId="29FC084A" w14:textId="6B34E070" w:rsidR="00BB12D7" w:rsidRDefault="00BB12D7" w:rsidP="00D32662">
      <w:pPr>
        <w:pStyle w:val="BodyText"/>
        <w:jc w:val="both"/>
        <w:rPr>
          <w:sz w:val="22"/>
          <w:szCs w:val="22"/>
        </w:rPr>
      </w:pPr>
    </w:p>
    <w:p w14:paraId="18E0D677" w14:textId="226A0CA9" w:rsidR="004E0034" w:rsidRPr="00BF54CB" w:rsidRDefault="007B20FE" w:rsidP="00D32662">
      <w:pPr>
        <w:pStyle w:val="BodyText"/>
        <w:jc w:val="both"/>
        <w:rPr>
          <w:sz w:val="22"/>
          <w:szCs w:val="22"/>
        </w:rPr>
      </w:pPr>
      <w:r w:rsidRPr="00BF54CB">
        <w:rPr>
          <w:sz w:val="22"/>
          <w:szCs w:val="22"/>
        </w:rPr>
        <w:t xml:space="preserve">The following are proposed changes to the </w:t>
      </w:r>
      <w:r w:rsidR="00522870">
        <w:rPr>
          <w:sz w:val="22"/>
          <w:szCs w:val="22"/>
        </w:rPr>
        <w:t>Central Falls</w:t>
      </w:r>
      <w:r w:rsidRPr="00BF54CB">
        <w:rPr>
          <w:sz w:val="22"/>
          <w:szCs w:val="22"/>
        </w:rPr>
        <w:t xml:space="preserve"> Zoning Ordinance</w:t>
      </w:r>
      <w:r w:rsidR="00BB12D7">
        <w:rPr>
          <w:sz w:val="22"/>
          <w:szCs w:val="22"/>
        </w:rPr>
        <w:t xml:space="preserve"> under consideration by the Council</w:t>
      </w:r>
      <w:r w:rsidR="004E0034" w:rsidRPr="00BF54CB">
        <w:rPr>
          <w:sz w:val="22"/>
          <w:szCs w:val="22"/>
        </w:rPr>
        <w:t>:</w:t>
      </w:r>
    </w:p>
    <w:p w14:paraId="36FC8282" w14:textId="09DD0CFF" w:rsidR="00615D07" w:rsidRDefault="00615D07" w:rsidP="00CE0AE2">
      <w:pPr>
        <w:pStyle w:val="BodyText"/>
        <w:jc w:val="both"/>
        <w:rPr>
          <w:b/>
          <w:bCs/>
          <w:sz w:val="22"/>
          <w:szCs w:val="22"/>
        </w:rPr>
      </w:pPr>
      <w:bookmarkStart w:id="0" w:name="_Hlk115797341"/>
    </w:p>
    <w:p w14:paraId="57D39A6B" w14:textId="22605FA0" w:rsidR="00615D07" w:rsidRDefault="00615D07" w:rsidP="00CE0AE2">
      <w:pPr>
        <w:pStyle w:val="BodyText"/>
        <w:jc w:val="both"/>
        <w:rPr>
          <w:sz w:val="22"/>
          <w:szCs w:val="22"/>
        </w:rPr>
      </w:pPr>
      <w:r w:rsidRPr="006747BC">
        <w:rPr>
          <w:b/>
          <w:bCs/>
          <w:sz w:val="22"/>
          <w:szCs w:val="22"/>
        </w:rPr>
        <w:t>Amendment to Article I</w:t>
      </w:r>
      <w:r>
        <w:rPr>
          <w:b/>
          <w:bCs/>
          <w:sz w:val="22"/>
          <w:szCs w:val="22"/>
        </w:rPr>
        <w:t xml:space="preserve">, </w:t>
      </w:r>
      <w:r w:rsidRPr="006747BC">
        <w:rPr>
          <w:b/>
          <w:bCs/>
          <w:sz w:val="22"/>
          <w:szCs w:val="22"/>
        </w:rPr>
        <w:t xml:space="preserve">Section </w:t>
      </w:r>
      <w:r>
        <w:rPr>
          <w:b/>
          <w:bCs/>
          <w:sz w:val="22"/>
          <w:szCs w:val="22"/>
        </w:rPr>
        <w:t>101.4</w:t>
      </w:r>
      <w:r w:rsidRPr="006747BC">
        <w:rPr>
          <w:b/>
          <w:bCs/>
          <w:sz w:val="22"/>
          <w:szCs w:val="22"/>
        </w:rPr>
        <w:t xml:space="preserve"> “</w:t>
      </w:r>
      <w:r>
        <w:rPr>
          <w:b/>
          <w:bCs/>
          <w:sz w:val="22"/>
          <w:szCs w:val="22"/>
        </w:rPr>
        <w:t>Overlay zoning districts</w:t>
      </w:r>
      <w:r w:rsidRPr="006747BC">
        <w:rPr>
          <w:b/>
          <w:bCs/>
          <w:sz w:val="22"/>
          <w:szCs w:val="22"/>
        </w:rPr>
        <w:t>”</w:t>
      </w:r>
      <w:r>
        <w:rPr>
          <w:sz w:val="22"/>
          <w:szCs w:val="22"/>
        </w:rPr>
        <w:t xml:space="preserve"> by adding </w:t>
      </w:r>
      <w:r w:rsidRPr="006A184B">
        <w:rPr>
          <w:sz w:val="22"/>
          <w:szCs w:val="22"/>
        </w:rPr>
        <w:t>a</w:t>
      </w:r>
      <w:r>
        <w:rPr>
          <w:sz w:val="22"/>
          <w:szCs w:val="22"/>
        </w:rPr>
        <w:t>n</w:t>
      </w:r>
      <w:r w:rsidRPr="006A184B">
        <w:rPr>
          <w:sz w:val="22"/>
          <w:szCs w:val="22"/>
        </w:rPr>
        <w:t xml:space="preserve"> </w:t>
      </w:r>
      <w:bookmarkStart w:id="1" w:name="_Hlk165203771"/>
      <w:r w:rsidRPr="006A184B">
        <w:rPr>
          <w:sz w:val="22"/>
          <w:szCs w:val="22"/>
        </w:rPr>
        <w:t>OMUSOD Osram mixed-use special overlay district</w:t>
      </w:r>
      <w:r>
        <w:rPr>
          <w:sz w:val="22"/>
          <w:szCs w:val="22"/>
        </w:rPr>
        <w:t xml:space="preserve"> </w:t>
      </w:r>
      <w:bookmarkEnd w:id="1"/>
      <w:r>
        <w:rPr>
          <w:sz w:val="22"/>
          <w:szCs w:val="22"/>
        </w:rPr>
        <w:t>as follows:</w:t>
      </w:r>
    </w:p>
    <w:p w14:paraId="11DF4CC7" w14:textId="2FE26222" w:rsidR="00615D07" w:rsidRDefault="00615D07" w:rsidP="00CE0AE2">
      <w:pPr>
        <w:pStyle w:val="BodyText"/>
        <w:jc w:val="both"/>
        <w:rPr>
          <w:sz w:val="22"/>
          <w:szCs w:val="22"/>
        </w:rPr>
      </w:pPr>
    </w:p>
    <w:p w14:paraId="5F6AA404" w14:textId="0DE31BE1" w:rsidR="00615D07" w:rsidRPr="00615D07" w:rsidRDefault="00615D07" w:rsidP="00CE0AE2">
      <w:pPr>
        <w:pStyle w:val="BodyText"/>
        <w:jc w:val="both"/>
        <w:rPr>
          <w:sz w:val="22"/>
          <w:szCs w:val="22"/>
          <w:u w:val="single"/>
        </w:rPr>
      </w:pPr>
      <w:r w:rsidRPr="00615D07">
        <w:rPr>
          <w:i/>
          <w:iCs/>
          <w:sz w:val="22"/>
          <w:szCs w:val="22"/>
          <w:u w:val="single"/>
        </w:rPr>
        <w:t>OMUSOD Osram mixed-use special overlay district.</w:t>
      </w:r>
      <w:r w:rsidRPr="00615D07">
        <w:rPr>
          <w:sz w:val="22"/>
          <w:szCs w:val="22"/>
          <w:u w:val="single"/>
        </w:rPr>
        <w:t xml:space="preserve">  In addition to and in furtherance of the purposes of the MBRD overlay zone, this overlay zone is meant to further promote redevelopment of existing and obsolete industrial mill structures located within this new OMUSOD overlay zone. The OMUSOD will encompass the improved properties located within an area </w:t>
      </w:r>
      <w:bookmarkStart w:id="2" w:name="_Hlk165203872"/>
      <w:r w:rsidRPr="00615D07">
        <w:rPr>
          <w:sz w:val="22"/>
          <w:szCs w:val="22"/>
          <w:u w:val="single"/>
        </w:rPr>
        <w:t xml:space="preserve">bounded, northerly, by Division Street, then, easterly, by the railroad tracks, then, southerly, by Blackstone Street, and then, westerly, by Broad Street.  </w:t>
      </w:r>
      <w:bookmarkEnd w:id="2"/>
      <w:r w:rsidRPr="00615D07">
        <w:rPr>
          <w:sz w:val="22"/>
          <w:szCs w:val="22"/>
          <w:u w:val="single"/>
        </w:rPr>
        <w:t>The official Zoning Map shall be amended to reflect this newly created overlay district.</w:t>
      </w:r>
    </w:p>
    <w:p w14:paraId="51AC1FED" w14:textId="01980D16" w:rsidR="00615D07" w:rsidRDefault="00615D07" w:rsidP="00CE0AE2">
      <w:pPr>
        <w:pStyle w:val="BodyText"/>
        <w:jc w:val="both"/>
        <w:rPr>
          <w:b/>
          <w:bCs/>
          <w:sz w:val="22"/>
          <w:szCs w:val="22"/>
        </w:rPr>
      </w:pPr>
    </w:p>
    <w:p w14:paraId="377BD206" w14:textId="113F78B5" w:rsidR="00CE0AE2" w:rsidRDefault="00CE0AE2" w:rsidP="00CE0AE2">
      <w:pPr>
        <w:pStyle w:val="BodyText"/>
        <w:jc w:val="both"/>
        <w:rPr>
          <w:sz w:val="22"/>
          <w:szCs w:val="22"/>
        </w:rPr>
      </w:pPr>
      <w:r w:rsidRPr="006747BC">
        <w:rPr>
          <w:b/>
          <w:bCs/>
          <w:sz w:val="22"/>
          <w:szCs w:val="22"/>
        </w:rPr>
        <w:t xml:space="preserve">Amendment to </w:t>
      </w:r>
      <w:r w:rsidR="006747BC" w:rsidRPr="006747BC">
        <w:rPr>
          <w:b/>
          <w:bCs/>
          <w:sz w:val="22"/>
          <w:szCs w:val="22"/>
        </w:rPr>
        <w:t xml:space="preserve">Article III, </w:t>
      </w:r>
      <w:r w:rsidRPr="006747BC">
        <w:rPr>
          <w:b/>
          <w:bCs/>
          <w:sz w:val="22"/>
          <w:szCs w:val="22"/>
        </w:rPr>
        <w:t xml:space="preserve">Section 304 </w:t>
      </w:r>
      <w:r w:rsidR="006747BC" w:rsidRPr="006747BC">
        <w:rPr>
          <w:b/>
          <w:bCs/>
          <w:sz w:val="22"/>
          <w:szCs w:val="22"/>
        </w:rPr>
        <w:t>“Use Regulations”</w:t>
      </w:r>
      <w:r w:rsidR="006747BC">
        <w:rPr>
          <w:sz w:val="22"/>
          <w:szCs w:val="22"/>
        </w:rPr>
        <w:t xml:space="preserve"> </w:t>
      </w:r>
      <w:r>
        <w:rPr>
          <w:sz w:val="22"/>
          <w:szCs w:val="22"/>
        </w:rPr>
        <w:t xml:space="preserve">by </w:t>
      </w:r>
      <w:r w:rsidR="00CB2414">
        <w:rPr>
          <w:sz w:val="22"/>
          <w:szCs w:val="22"/>
        </w:rPr>
        <w:t xml:space="preserve">adding a footnote to the Use Table stating that use </w:t>
      </w:r>
      <w:r w:rsidR="00636F5B">
        <w:rPr>
          <w:sz w:val="22"/>
          <w:szCs w:val="22"/>
        </w:rPr>
        <w:t>48.3 Mini-Storage and Self-Storage</w:t>
      </w:r>
      <w:r w:rsidR="00CB2414">
        <w:rPr>
          <w:sz w:val="22"/>
          <w:szCs w:val="22"/>
        </w:rPr>
        <w:t xml:space="preserve"> is allowed within existing buildings in the newly created district</w:t>
      </w:r>
      <w:r w:rsidR="006747BC">
        <w:rPr>
          <w:sz w:val="22"/>
          <w:szCs w:val="22"/>
        </w:rPr>
        <w:t>,</w:t>
      </w:r>
      <w:r w:rsidR="00636F5B">
        <w:rPr>
          <w:sz w:val="22"/>
          <w:szCs w:val="22"/>
        </w:rPr>
        <w:t xml:space="preserve"> as</w:t>
      </w:r>
      <w:r>
        <w:rPr>
          <w:sz w:val="22"/>
          <w:szCs w:val="22"/>
        </w:rPr>
        <w:t xml:space="preserve"> follows: </w:t>
      </w:r>
    </w:p>
    <w:p w14:paraId="15C2F6E9" w14:textId="11E26915" w:rsidR="006747BC" w:rsidRDefault="006747BC" w:rsidP="00CE0AE2">
      <w:pPr>
        <w:pStyle w:val="BodyText"/>
        <w:jc w:val="both"/>
        <w:rPr>
          <w:sz w:val="22"/>
          <w:szCs w:val="22"/>
        </w:rPr>
      </w:pPr>
    </w:p>
    <w:tbl>
      <w:tblPr>
        <w:tblStyle w:val="TableGrid"/>
        <w:tblW w:w="10530" w:type="dxa"/>
        <w:tblInd w:w="-5" w:type="dxa"/>
        <w:tblLook w:val="04A0" w:firstRow="1" w:lastRow="0" w:firstColumn="1" w:lastColumn="0" w:noHBand="0" w:noVBand="1"/>
      </w:tblPr>
      <w:tblGrid>
        <w:gridCol w:w="720"/>
        <w:gridCol w:w="3690"/>
        <w:gridCol w:w="630"/>
        <w:gridCol w:w="630"/>
        <w:gridCol w:w="630"/>
        <w:gridCol w:w="630"/>
        <w:gridCol w:w="630"/>
        <w:gridCol w:w="630"/>
        <w:gridCol w:w="630"/>
        <w:gridCol w:w="630"/>
        <w:gridCol w:w="511"/>
        <w:gridCol w:w="569"/>
      </w:tblGrid>
      <w:tr w:rsidR="006747BC" w:rsidRPr="008E0985" w14:paraId="24887A1E" w14:textId="77777777" w:rsidTr="0091097E">
        <w:tc>
          <w:tcPr>
            <w:tcW w:w="720" w:type="dxa"/>
          </w:tcPr>
          <w:p w14:paraId="2491CABA" w14:textId="77777777" w:rsidR="006747BC" w:rsidRPr="008E0985" w:rsidRDefault="006747BC" w:rsidP="0091097E">
            <w:pPr>
              <w:spacing w:after="120"/>
              <w:jc w:val="both"/>
              <w:rPr>
                <w:rFonts w:ascii="Garamond" w:eastAsia="Times New Roman" w:hAnsi="Garamond"/>
                <w:bCs/>
              </w:rPr>
            </w:pPr>
          </w:p>
        </w:tc>
        <w:tc>
          <w:tcPr>
            <w:tcW w:w="3690" w:type="dxa"/>
          </w:tcPr>
          <w:p w14:paraId="081B0157"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Zoning Districts</w:t>
            </w:r>
          </w:p>
        </w:tc>
        <w:tc>
          <w:tcPr>
            <w:tcW w:w="630" w:type="dxa"/>
          </w:tcPr>
          <w:p w14:paraId="0F0F09D3"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R-1</w:t>
            </w:r>
          </w:p>
        </w:tc>
        <w:tc>
          <w:tcPr>
            <w:tcW w:w="630" w:type="dxa"/>
          </w:tcPr>
          <w:p w14:paraId="4EF8A55D"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R-2</w:t>
            </w:r>
          </w:p>
        </w:tc>
        <w:tc>
          <w:tcPr>
            <w:tcW w:w="630" w:type="dxa"/>
          </w:tcPr>
          <w:p w14:paraId="33ECC617"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R-3</w:t>
            </w:r>
          </w:p>
        </w:tc>
        <w:tc>
          <w:tcPr>
            <w:tcW w:w="630" w:type="dxa"/>
          </w:tcPr>
          <w:p w14:paraId="1D782A03"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C-1</w:t>
            </w:r>
          </w:p>
        </w:tc>
        <w:tc>
          <w:tcPr>
            <w:tcW w:w="630" w:type="dxa"/>
          </w:tcPr>
          <w:p w14:paraId="25F07DC6"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C-2</w:t>
            </w:r>
          </w:p>
        </w:tc>
        <w:tc>
          <w:tcPr>
            <w:tcW w:w="630" w:type="dxa"/>
          </w:tcPr>
          <w:p w14:paraId="1615CFC0"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C-D</w:t>
            </w:r>
          </w:p>
        </w:tc>
        <w:tc>
          <w:tcPr>
            <w:tcW w:w="630" w:type="dxa"/>
          </w:tcPr>
          <w:p w14:paraId="5DCFC2C7" w14:textId="6D137A9F"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M-1</w:t>
            </w:r>
          </w:p>
        </w:tc>
        <w:tc>
          <w:tcPr>
            <w:tcW w:w="630" w:type="dxa"/>
          </w:tcPr>
          <w:p w14:paraId="067037D2"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M-2</w:t>
            </w:r>
          </w:p>
        </w:tc>
        <w:tc>
          <w:tcPr>
            <w:tcW w:w="511" w:type="dxa"/>
          </w:tcPr>
          <w:p w14:paraId="1A1A1981" w14:textId="77777777"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P</w:t>
            </w:r>
          </w:p>
        </w:tc>
        <w:tc>
          <w:tcPr>
            <w:tcW w:w="569" w:type="dxa"/>
          </w:tcPr>
          <w:p w14:paraId="765135C3" w14:textId="721A5EC2" w:rsidR="006747BC" w:rsidRPr="008E0985" w:rsidRDefault="006747BC" w:rsidP="0091097E">
            <w:pPr>
              <w:spacing w:after="120"/>
              <w:jc w:val="both"/>
              <w:rPr>
                <w:rFonts w:ascii="Garamond" w:eastAsia="Times New Roman" w:hAnsi="Garamond"/>
                <w:bCs/>
              </w:rPr>
            </w:pPr>
            <w:r w:rsidRPr="008E0985">
              <w:rPr>
                <w:rFonts w:ascii="Garamond" w:eastAsia="Times New Roman" w:hAnsi="Garamond"/>
                <w:bCs/>
              </w:rPr>
              <w:t>CM</w:t>
            </w:r>
          </w:p>
        </w:tc>
      </w:tr>
      <w:tr w:rsidR="006747BC" w:rsidRPr="008E0985" w14:paraId="68EC3AD1" w14:textId="77777777" w:rsidTr="0091097E">
        <w:tc>
          <w:tcPr>
            <w:tcW w:w="720" w:type="dxa"/>
          </w:tcPr>
          <w:p w14:paraId="22C1A98A" w14:textId="77777777" w:rsidR="006747BC" w:rsidRPr="008E0985" w:rsidRDefault="006747BC" w:rsidP="0091097E">
            <w:pPr>
              <w:spacing w:after="120"/>
              <w:jc w:val="both"/>
              <w:rPr>
                <w:rFonts w:ascii="Garamond" w:eastAsia="Times New Roman" w:hAnsi="Garamond"/>
                <w:b/>
              </w:rPr>
            </w:pPr>
            <w:r w:rsidRPr="008E0985">
              <w:rPr>
                <w:rFonts w:ascii="Garamond" w:eastAsia="Times New Roman" w:hAnsi="Garamond"/>
                <w:b/>
              </w:rPr>
              <w:t>4.0</w:t>
            </w:r>
          </w:p>
        </w:tc>
        <w:tc>
          <w:tcPr>
            <w:tcW w:w="3690" w:type="dxa"/>
          </w:tcPr>
          <w:p w14:paraId="7A91E866" w14:textId="77777777" w:rsidR="006747BC" w:rsidRPr="008E0985" w:rsidRDefault="006747BC" w:rsidP="0091097E">
            <w:pPr>
              <w:spacing w:after="120"/>
              <w:jc w:val="both"/>
              <w:rPr>
                <w:rFonts w:ascii="Garamond" w:eastAsia="Times New Roman" w:hAnsi="Garamond"/>
                <w:b/>
              </w:rPr>
            </w:pPr>
            <w:r w:rsidRPr="008E0985">
              <w:rPr>
                <w:rFonts w:ascii="Garamond" w:eastAsia="Times New Roman" w:hAnsi="Garamond"/>
                <w:b/>
              </w:rPr>
              <w:t>GENERAL SERVICES</w:t>
            </w:r>
          </w:p>
        </w:tc>
        <w:tc>
          <w:tcPr>
            <w:tcW w:w="630" w:type="dxa"/>
          </w:tcPr>
          <w:p w14:paraId="4A8D8604" w14:textId="77777777" w:rsidR="006747BC" w:rsidRPr="008E0985" w:rsidRDefault="006747BC" w:rsidP="0091097E">
            <w:pPr>
              <w:spacing w:after="120"/>
              <w:jc w:val="both"/>
              <w:rPr>
                <w:rFonts w:ascii="Garamond" w:eastAsia="Times New Roman" w:hAnsi="Garamond"/>
                <w:bCs/>
              </w:rPr>
            </w:pPr>
          </w:p>
        </w:tc>
        <w:tc>
          <w:tcPr>
            <w:tcW w:w="630" w:type="dxa"/>
          </w:tcPr>
          <w:p w14:paraId="325B3620" w14:textId="77777777" w:rsidR="006747BC" w:rsidRPr="008E0985" w:rsidRDefault="006747BC" w:rsidP="0091097E">
            <w:pPr>
              <w:spacing w:after="120"/>
              <w:jc w:val="both"/>
              <w:rPr>
                <w:rFonts w:ascii="Garamond" w:eastAsia="Times New Roman" w:hAnsi="Garamond"/>
                <w:bCs/>
              </w:rPr>
            </w:pPr>
          </w:p>
        </w:tc>
        <w:tc>
          <w:tcPr>
            <w:tcW w:w="630" w:type="dxa"/>
          </w:tcPr>
          <w:p w14:paraId="703827F6" w14:textId="77777777" w:rsidR="006747BC" w:rsidRPr="008E0985" w:rsidRDefault="006747BC" w:rsidP="0091097E">
            <w:pPr>
              <w:spacing w:after="120"/>
              <w:jc w:val="both"/>
              <w:rPr>
                <w:rFonts w:ascii="Garamond" w:eastAsia="Times New Roman" w:hAnsi="Garamond"/>
                <w:bCs/>
              </w:rPr>
            </w:pPr>
          </w:p>
        </w:tc>
        <w:tc>
          <w:tcPr>
            <w:tcW w:w="630" w:type="dxa"/>
          </w:tcPr>
          <w:p w14:paraId="35620D5E" w14:textId="77777777" w:rsidR="006747BC" w:rsidRPr="008E0985" w:rsidRDefault="006747BC" w:rsidP="0091097E">
            <w:pPr>
              <w:spacing w:after="120"/>
              <w:jc w:val="both"/>
              <w:rPr>
                <w:rFonts w:ascii="Garamond" w:eastAsia="Times New Roman" w:hAnsi="Garamond"/>
                <w:bCs/>
              </w:rPr>
            </w:pPr>
          </w:p>
        </w:tc>
        <w:tc>
          <w:tcPr>
            <w:tcW w:w="630" w:type="dxa"/>
          </w:tcPr>
          <w:p w14:paraId="0DA79283" w14:textId="77777777" w:rsidR="006747BC" w:rsidRPr="008E0985" w:rsidRDefault="006747BC" w:rsidP="0091097E">
            <w:pPr>
              <w:spacing w:after="120"/>
              <w:jc w:val="both"/>
              <w:rPr>
                <w:rFonts w:ascii="Garamond" w:eastAsia="Times New Roman" w:hAnsi="Garamond"/>
                <w:bCs/>
              </w:rPr>
            </w:pPr>
          </w:p>
        </w:tc>
        <w:tc>
          <w:tcPr>
            <w:tcW w:w="630" w:type="dxa"/>
          </w:tcPr>
          <w:p w14:paraId="70AC6A61" w14:textId="77777777" w:rsidR="006747BC" w:rsidRPr="008E0985" w:rsidRDefault="006747BC" w:rsidP="0091097E">
            <w:pPr>
              <w:spacing w:after="120"/>
              <w:jc w:val="both"/>
              <w:rPr>
                <w:rFonts w:ascii="Garamond" w:eastAsia="Times New Roman" w:hAnsi="Garamond"/>
                <w:bCs/>
              </w:rPr>
            </w:pPr>
          </w:p>
        </w:tc>
        <w:tc>
          <w:tcPr>
            <w:tcW w:w="630" w:type="dxa"/>
          </w:tcPr>
          <w:p w14:paraId="2179ED52" w14:textId="4F4A5114" w:rsidR="006747BC" w:rsidRPr="008E0985" w:rsidRDefault="006747BC" w:rsidP="0091097E">
            <w:pPr>
              <w:spacing w:after="120"/>
              <w:jc w:val="both"/>
              <w:rPr>
                <w:rFonts w:ascii="Garamond" w:eastAsia="Times New Roman" w:hAnsi="Garamond"/>
                <w:bCs/>
              </w:rPr>
            </w:pPr>
          </w:p>
        </w:tc>
        <w:tc>
          <w:tcPr>
            <w:tcW w:w="630" w:type="dxa"/>
          </w:tcPr>
          <w:p w14:paraId="5D9233C9" w14:textId="77777777" w:rsidR="006747BC" w:rsidRPr="008E0985" w:rsidRDefault="006747BC" w:rsidP="0091097E">
            <w:pPr>
              <w:spacing w:after="120"/>
              <w:jc w:val="both"/>
              <w:rPr>
                <w:rFonts w:ascii="Garamond" w:eastAsia="Times New Roman" w:hAnsi="Garamond"/>
                <w:bCs/>
              </w:rPr>
            </w:pPr>
          </w:p>
        </w:tc>
        <w:tc>
          <w:tcPr>
            <w:tcW w:w="511" w:type="dxa"/>
          </w:tcPr>
          <w:p w14:paraId="4CD98D6C" w14:textId="77777777" w:rsidR="006747BC" w:rsidRPr="008E0985" w:rsidRDefault="006747BC" w:rsidP="0091097E">
            <w:pPr>
              <w:spacing w:after="120"/>
              <w:jc w:val="both"/>
              <w:rPr>
                <w:rFonts w:ascii="Garamond" w:eastAsia="Times New Roman" w:hAnsi="Garamond"/>
                <w:bCs/>
              </w:rPr>
            </w:pPr>
          </w:p>
        </w:tc>
        <w:tc>
          <w:tcPr>
            <w:tcW w:w="569" w:type="dxa"/>
          </w:tcPr>
          <w:p w14:paraId="5113352F" w14:textId="77777777" w:rsidR="006747BC" w:rsidRPr="008E0985" w:rsidRDefault="006747BC" w:rsidP="0091097E">
            <w:pPr>
              <w:spacing w:after="120"/>
              <w:jc w:val="both"/>
              <w:rPr>
                <w:rFonts w:ascii="Garamond" w:eastAsia="Times New Roman" w:hAnsi="Garamond"/>
                <w:bCs/>
              </w:rPr>
            </w:pPr>
          </w:p>
        </w:tc>
      </w:tr>
      <w:tr w:rsidR="006747BC" w:rsidRPr="008E0985" w14:paraId="452C2A42" w14:textId="77777777" w:rsidTr="0091097E">
        <w:tc>
          <w:tcPr>
            <w:tcW w:w="720" w:type="dxa"/>
          </w:tcPr>
          <w:p w14:paraId="6F5A11FF" w14:textId="77777777" w:rsidR="006747BC" w:rsidRPr="00CB2414" w:rsidRDefault="006747BC" w:rsidP="0091097E">
            <w:pPr>
              <w:spacing w:after="120"/>
              <w:jc w:val="both"/>
              <w:rPr>
                <w:rFonts w:ascii="Garamond" w:eastAsia="Times New Roman" w:hAnsi="Garamond"/>
                <w:b/>
              </w:rPr>
            </w:pPr>
            <w:r w:rsidRPr="00CB2414">
              <w:rPr>
                <w:rFonts w:ascii="Garamond" w:eastAsia="Times New Roman" w:hAnsi="Garamond"/>
                <w:b/>
              </w:rPr>
              <w:t>48.3</w:t>
            </w:r>
          </w:p>
        </w:tc>
        <w:tc>
          <w:tcPr>
            <w:tcW w:w="3690" w:type="dxa"/>
          </w:tcPr>
          <w:p w14:paraId="6D71609D"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Mini-Storage and Self-Storage</w:t>
            </w:r>
          </w:p>
        </w:tc>
        <w:tc>
          <w:tcPr>
            <w:tcW w:w="630" w:type="dxa"/>
          </w:tcPr>
          <w:p w14:paraId="31946657"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2526E276"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5FCA8DF3"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78B48F3F"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41E85A46" w14:textId="269D5F63"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09DC08F9"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5950EE41" w14:textId="17637FA9" w:rsidR="006747BC" w:rsidRPr="00CB2414" w:rsidRDefault="00CB2414" w:rsidP="0091097E">
            <w:pPr>
              <w:spacing w:after="120"/>
              <w:jc w:val="both"/>
              <w:rPr>
                <w:rFonts w:ascii="Garamond" w:eastAsia="Times New Roman" w:hAnsi="Garamond"/>
                <w:bCs/>
                <w:u w:val="single"/>
              </w:rPr>
            </w:pPr>
            <w:r w:rsidRPr="00CB2414">
              <w:rPr>
                <w:rFonts w:ascii="Garamond" w:eastAsia="Times New Roman" w:hAnsi="Garamond"/>
                <w:bCs/>
                <w:szCs w:val="20"/>
              </w:rPr>
              <w:t xml:space="preserve">N </w:t>
            </w:r>
            <w:r w:rsidR="00615D07" w:rsidRPr="00CB2414">
              <w:rPr>
                <w:rFonts w:ascii="Garamond" w:eastAsia="Times New Roman" w:hAnsi="Garamond" w:cstheme="minorHAnsi"/>
                <w:bCs/>
                <w:szCs w:val="20"/>
                <w:u w:val="single"/>
              </w:rPr>
              <w:t>²</w:t>
            </w:r>
          </w:p>
        </w:tc>
        <w:tc>
          <w:tcPr>
            <w:tcW w:w="630" w:type="dxa"/>
          </w:tcPr>
          <w:p w14:paraId="10D11D7D" w14:textId="4C462630" w:rsidR="006747BC" w:rsidRPr="008E0985" w:rsidRDefault="00CB2414" w:rsidP="0091097E">
            <w:pPr>
              <w:spacing w:after="120"/>
              <w:jc w:val="both"/>
              <w:rPr>
                <w:rFonts w:ascii="Garamond" w:eastAsia="Times New Roman" w:hAnsi="Garamond"/>
                <w:bCs/>
                <w:u w:val="single"/>
              </w:rPr>
            </w:pPr>
            <w:r w:rsidRPr="00CB2414">
              <w:rPr>
                <w:rFonts w:ascii="Garamond" w:eastAsia="Times New Roman" w:hAnsi="Garamond"/>
                <w:bCs/>
                <w:szCs w:val="20"/>
              </w:rPr>
              <w:t xml:space="preserve">N </w:t>
            </w:r>
            <w:r w:rsidRPr="00CB2414">
              <w:rPr>
                <w:rFonts w:ascii="Garamond" w:eastAsia="Times New Roman" w:hAnsi="Garamond" w:cstheme="minorHAnsi"/>
                <w:bCs/>
                <w:szCs w:val="20"/>
                <w:u w:val="single"/>
              </w:rPr>
              <w:t>²</w:t>
            </w:r>
          </w:p>
        </w:tc>
        <w:tc>
          <w:tcPr>
            <w:tcW w:w="511" w:type="dxa"/>
          </w:tcPr>
          <w:p w14:paraId="41651123"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c>
          <w:tcPr>
            <w:tcW w:w="569" w:type="dxa"/>
          </w:tcPr>
          <w:p w14:paraId="5D4F458D" w14:textId="77777777" w:rsidR="006747BC" w:rsidRPr="00CB2414" w:rsidRDefault="006747BC" w:rsidP="0091097E">
            <w:pPr>
              <w:spacing w:after="120"/>
              <w:jc w:val="both"/>
              <w:rPr>
                <w:rFonts w:ascii="Garamond" w:eastAsia="Times New Roman" w:hAnsi="Garamond"/>
                <w:bCs/>
              </w:rPr>
            </w:pPr>
            <w:r w:rsidRPr="00CB2414">
              <w:rPr>
                <w:rFonts w:ascii="Garamond" w:eastAsia="Times New Roman" w:hAnsi="Garamond"/>
                <w:bCs/>
              </w:rPr>
              <w:t>N</w:t>
            </w:r>
          </w:p>
        </w:tc>
      </w:tr>
      <w:tr w:rsidR="00CB2414" w:rsidRPr="008E0985" w14:paraId="5019719B" w14:textId="77777777" w:rsidTr="008B7DF9">
        <w:tc>
          <w:tcPr>
            <w:tcW w:w="10530" w:type="dxa"/>
            <w:gridSpan w:val="12"/>
          </w:tcPr>
          <w:p w14:paraId="78939073" w14:textId="75E3A6C3" w:rsidR="00CB2414" w:rsidRPr="008E0985" w:rsidRDefault="00CB2414" w:rsidP="0091097E">
            <w:pPr>
              <w:spacing w:after="120"/>
              <w:jc w:val="both"/>
              <w:rPr>
                <w:rFonts w:ascii="Garamond" w:hAnsi="Garamond"/>
                <w:bCs/>
                <w:u w:val="single"/>
              </w:rPr>
            </w:pPr>
            <w:r w:rsidRPr="00CB2414">
              <w:rPr>
                <w:rFonts w:ascii="Garamond" w:hAnsi="Garamond"/>
                <w:bCs/>
                <w:u w:val="single"/>
                <w:vertAlign w:val="superscript"/>
              </w:rPr>
              <w:t>2</w:t>
            </w:r>
            <w:r w:rsidRPr="00CB2414">
              <w:rPr>
                <w:rFonts w:ascii="Garamond" w:hAnsi="Garamond"/>
                <w:bCs/>
                <w:u w:val="single"/>
              </w:rPr>
              <w:t xml:space="preserve">  Mini-Storage and Self-Storage facilities are permitted by right solely within existing buildings located on properties in the OMUSOD</w:t>
            </w:r>
            <w:r w:rsidR="00B70051">
              <w:rPr>
                <w:rFonts w:ascii="Garamond" w:hAnsi="Garamond"/>
                <w:bCs/>
                <w:u w:val="single"/>
              </w:rPr>
              <w:t>,</w:t>
            </w:r>
            <w:r w:rsidRPr="00CB2414">
              <w:rPr>
                <w:rFonts w:ascii="Garamond" w:hAnsi="Garamond"/>
                <w:bCs/>
                <w:u w:val="single"/>
              </w:rPr>
              <w:t xml:space="preserve"> as of the date the OMUSOD was established hereunder</w:t>
            </w:r>
            <w:r w:rsidR="00B70051">
              <w:rPr>
                <w:rFonts w:ascii="Garamond" w:hAnsi="Garamond"/>
                <w:bCs/>
                <w:u w:val="single"/>
              </w:rPr>
              <w:t>, up to a total limit of 230,000 square feet of Mini-Storage and Self-Storage within the OMUSOD</w:t>
            </w:r>
            <w:r w:rsidRPr="00CB2414">
              <w:rPr>
                <w:rFonts w:ascii="Garamond" w:hAnsi="Garamond"/>
                <w:bCs/>
                <w:u w:val="single"/>
              </w:rPr>
              <w:t>.</w:t>
            </w:r>
          </w:p>
        </w:tc>
      </w:tr>
    </w:tbl>
    <w:p w14:paraId="1FC1BD90" w14:textId="35E60333" w:rsidR="006747BC" w:rsidRDefault="0007705B" w:rsidP="00CE0AE2">
      <w:pPr>
        <w:pStyle w:val="BodyText"/>
        <w:jc w:val="both"/>
        <w:rPr>
          <w:sz w:val="22"/>
          <w:szCs w:val="22"/>
        </w:rPr>
      </w:pPr>
      <w:r>
        <w:rPr>
          <w:noProof/>
        </w:rPr>
        <w:drawing>
          <wp:anchor distT="0" distB="0" distL="114300" distR="114300" simplePos="0" relativeHeight="251658240" behindDoc="0" locked="0" layoutInCell="1" allowOverlap="1" wp14:anchorId="4A460A1A" wp14:editId="2ED57E43">
            <wp:simplePos x="0" y="0"/>
            <wp:positionH relativeFrom="column">
              <wp:posOffset>3975735</wp:posOffset>
            </wp:positionH>
            <wp:positionV relativeFrom="paragraph">
              <wp:posOffset>53340</wp:posOffset>
            </wp:positionV>
            <wp:extent cx="2747010" cy="4781550"/>
            <wp:effectExtent l="0" t="0" r="4445" b="0"/>
            <wp:wrapSquare wrapText="bothSides"/>
            <wp:docPr id="924304237"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04237" name="Picture 1" descr="A map of a neighborhoo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7010" cy="4781550"/>
                    </a:xfrm>
                    <a:prstGeom prst="rect">
                      <a:avLst/>
                    </a:prstGeom>
                  </pic:spPr>
                </pic:pic>
              </a:graphicData>
            </a:graphic>
            <wp14:sizeRelH relativeFrom="margin">
              <wp14:pctWidth>0</wp14:pctWidth>
            </wp14:sizeRelH>
            <wp14:sizeRelV relativeFrom="margin">
              <wp14:pctHeight>0</wp14:pctHeight>
            </wp14:sizeRelV>
          </wp:anchor>
        </w:drawing>
      </w:r>
    </w:p>
    <w:p w14:paraId="54B3AC2A" w14:textId="3F321D75" w:rsidR="006747BC" w:rsidRPr="00160741" w:rsidRDefault="006747BC" w:rsidP="006747BC">
      <w:pPr>
        <w:pStyle w:val="BodyText"/>
        <w:jc w:val="both"/>
        <w:rPr>
          <w:sz w:val="22"/>
          <w:szCs w:val="22"/>
        </w:rPr>
      </w:pPr>
      <w:r w:rsidRPr="006747BC">
        <w:rPr>
          <w:b/>
          <w:bCs/>
          <w:sz w:val="22"/>
          <w:szCs w:val="22"/>
        </w:rPr>
        <w:t xml:space="preserve">Amendment to </w:t>
      </w:r>
      <w:r w:rsidR="00CB2414">
        <w:rPr>
          <w:b/>
          <w:bCs/>
          <w:sz w:val="22"/>
          <w:szCs w:val="22"/>
        </w:rPr>
        <w:t>Article VI, Section 603</w:t>
      </w:r>
      <w:r w:rsidR="005570C6" w:rsidRPr="005570C6">
        <w:rPr>
          <w:sz w:val="22"/>
          <w:szCs w:val="22"/>
        </w:rPr>
        <w:t>,</w:t>
      </w:r>
      <w:r w:rsidR="005570C6">
        <w:rPr>
          <w:b/>
          <w:bCs/>
          <w:sz w:val="22"/>
          <w:szCs w:val="22"/>
        </w:rPr>
        <w:t xml:space="preserve"> </w:t>
      </w:r>
      <w:r w:rsidR="005570C6" w:rsidRPr="005570C6">
        <w:rPr>
          <w:sz w:val="22"/>
          <w:szCs w:val="22"/>
        </w:rPr>
        <w:t>presently reserved,</w:t>
      </w:r>
      <w:r w:rsidR="005570C6">
        <w:rPr>
          <w:b/>
          <w:bCs/>
          <w:sz w:val="22"/>
          <w:szCs w:val="22"/>
        </w:rPr>
        <w:t xml:space="preserve"> </w:t>
      </w:r>
      <w:r w:rsidR="005570C6" w:rsidRPr="005570C6">
        <w:rPr>
          <w:sz w:val="22"/>
          <w:szCs w:val="22"/>
        </w:rPr>
        <w:t>to describe the parameters for the newly created district</w:t>
      </w:r>
      <w:r w:rsidR="005570C6" w:rsidRPr="00160741">
        <w:rPr>
          <w:sz w:val="22"/>
          <w:szCs w:val="22"/>
        </w:rPr>
        <w:t xml:space="preserve">.  </w:t>
      </w:r>
      <w:r w:rsidR="00160741" w:rsidRPr="00160741">
        <w:rPr>
          <w:sz w:val="22"/>
          <w:szCs w:val="22"/>
        </w:rPr>
        <w:t xml:space="preserve">The full text </w:t>
      </w:r>
      <w:r w:rsidR="00160741">
        <w:rPr>
          <w:sz w:val="22"/>
          <w:szCs w:val="22"/>
        </w:rPr>
        <w:t xml:space="preserve">can be examined as </w:t>
      </w:r>
      <w:r w:rsidR="00DA3734">
        <w:rPr>
          <w:sz w:val="22"/>
          <w:szCs w:val="22"/>
        </w:rPr>
        <w:t>instructed</w:t>
      </w:r>
      <w:r w:rsidR="00160741">
        <w:rPr>
          <w:sz w:val="22"/>
          <w:szCs w:val="22"/>
        </w:rPr>
        <w:t xml:space="preserve"> below. </w:t>
      </w:r>
      <w:r w:rsidR="00160741" w:rsidRPr="00160741">
        <w:rPr>
          <w:sz w:val="22"/>
          <w:szCs w:val="22"/>
        </w:rPr>
        <w:t xml:space="preserve"> </w:t>
      </w:r>
    </w:p>
    <w:p w14:paraId="6C3F7171" w14:textId="4BB79478" w:rsidR="006747BC" w:rsidRDefault="006747BC" w:rsidP="00A601F7">
      <w:pPr>
        <w:pStyle w:val="BodyText"/>
        <w:jc w:val="both"/>
        <w:rPr>
          <w:sz w:val="22"/>
          <w:szCs w:val="22"/>
        </w:rPr>
      </w:pPr>
    </w:p>
    <w:p w14:paraId="504C5255" w14:textId="3C918373" w:rsidR="00E66046" w:rsidRDefault="00AE07DA" w:rsidP="00C70E8A">
      <w:pPr>
        <w:pStyle w:val="BodyText"/>
        <w:rPr>
          <w:sz w:val="22"/>
          <w:szCs w:val="22"/>
        </w:rPr>
      </w:pPr>
      <w:r w:rsidRPr="00AE07DA">
        <w:rPr>
          <w:b/>
          <w:sz w:val="22"/>
          <w:szCs w:val="22"/>
        </w:rPr>
        <w:t>The following is the proposed amendment to the official Zoning Map:</w:t>
      </w:r>
      <w:r w:rsidR="00E005B7">
        <w:rPr>
          <w:b/>
          <w:sz w:val="22"/>
          <w:szCs w:val="22"/>
        </w:rPr>
        <w:t xml:space="preserve">  </w:t>
      </w:r>
      <w:r w:rsidR="00E66046" w:rsidRPr="00E66046">
        <w:rPr>
          <w:sz w:val="22"/>
          <w:szCs w:val="22"/>
        </w:rPr>
        <w:t xml:space="preserve">Addition of the </w:t>
      </w:r>
      <w:r w:rsidR="00E66046" w:rsidRPr="006A184B">
        <w:rPr>
          <w:sz w:val="22"/>
          <w:szCs w:val="22"/>
        </w:rPr>
        <w:t>OMUSOD Osram mixed-use special overlay district</w:t>
      </w:r>
      <w:r w:rsidR="00732B97">
        <w:rPr>
          <w:sz w:val="22"/>
          <w:szCs w:val="22"/>
        </w:rPr>
        <w:t xml:space="preserve"> depicting the bounded area described in Section 101.4.</w:t>
      </w:r>
      <w:r w:rsidR="00E66046" w:rsidRPr="00E66046">
        <w:rPr>
          <w:sz w:val="22"/>
          <w:szCs w:val="22"/>
        </w:rPr>
        <w:t xml:space="preserve">  </w:t>
      </w:r>
    </w:p>
    <w:p w14:paraId="54E8C517" w14:textId="44E52627" w:rsidR="00E66046" w:rsidRDefault="00E66046" w:rsidP="00A601F7">
      <w:pPr>
        <w:pStyle w:val="BodyText"/>
        <w:jc w:val="both"/>
        <w:rPr>
          <w:sz w:val="22"/>
          <w:szCs w:val="22"/>
        </w:rPr>
      </w:pPr>
    </w:p>
    <w:bookmarkEnd w:id="0"/>
    <w:p w14:paraId="62C4C7D9" w14:textId="297EC23B" w:rsidR="00640668" w:rsidRDefault="00640668" w:rsidP="00640668">
      <w:pPr>
        <w:jc w:val="both"/>
        <w:rPr>
          <w:sz w:val="22"/>
          <w:szCs w:val="22"/>
        </w:rPr>
      </w:pPr>
      <w:r w:rsidRPr="00A601F7">
        <w:rPr>
          <w:sz w:val="22"/>
          <w:szCs w:val="22"/>
        </w:rPr>
        <w:t xml:space="preserve">The proposed </w:t>
      </w:r>
      <w:r w:rsidR="00696A90">
        <w:rPr>
          <w:sz w:val="22"/>
          <w:szCs w:val="22"/>
        </w:rPr>
        <w:t>amendments</w:t>
      </w:r>
      <w:r w:rsidRPr="00A601F7">
        <w:rPr>
          <w:sz w:val="22"/>
          <w:szCs w:val="22"/>
        </w:rPr>
        <w:t xml:space="preserve"> may be </w:t>
      </w:r>
      <w:r w:rsidR="00E370AD">
        <w:rPr>
          <w:sz w:val="22"/>
          <w:szCs w:val="22"/>
        </w:rPr>
        <w:t>altered</w:t>
      </w:r>
      <w:r w:rsidRPr="00A601F7">
        <w:rPr>
          <w:sz w:val="22"/>
          <w:szCs w:val="22"/>
        </w:rPr>
        <w:t xml:space="preserve"> or amended prior to the close of the public hearing without further advertising</w:t>
      </w:r>
      <w:r w:rsidR="00E370AD">
        <w:rPr>
          <w:sz w:val="22"/>
          <w:szCs w:val="22"/>
        </w:rPr>
        <w:t xml:space="preserve"> or notice</w:t>
      </w:r>
      <w:r w:rsidRPr="00A601F7">
        <w:rPr>
          <w:sz w:val="22"/>
          <w:szCs w:val="22"/>
        </w:rPr>
        <w:t xml:space="preserve">, as a result of further study or because of </w:t>
      </w:r>
      <w:r w:rsidR="00E370AD">
        <w:rPr>
          <w:sz w:val="22"/>
          <w:szCs w:val="22"/>
        </w:rPr>
        <w:t xml:space="preserve">the </w:t>
      </w:r>
      <w:r w:rsidRPr="00A601F7">
        <w:rPr>
          <w:sz w:val="22"/>
          <w:szCs w:val="22"/>
        </w:rPr>
        <w:t>views expressed at the public hearing.  Any</w:t>
      </w:r>
      <w:r w:rsidR="00E370AD">
        <w:rPr>
          <w:sz w:val="22"/>
          <w:szCs w:val="22"/>
        </w:rPr>
        <w:t xml:space="preserve"> alteration</w:t>
      </w:r>
      <w:r w:rsidRPr="00A601F7">
        <w:rPr>
          <w:sz w:val="22"/>
          <w:szCs w:val="22"/>
        </w:rPr>
        <w:t xml:space="preserve"> or amendment </w:t>
      </w:r>
      <w:r w:rsidR="00E370AD">
        <w:rPr>
          <w:sz w:val="22"/>
          <w:szCs w:val="22"/>
        </w:rPr>
        <w:t xml:space="preserve">must </w:t>
      </w:r>
      <w:r w:rsidRPr="00A601F7">
        <w:rPr>
          <w:sz w:val="22"/>
          <w:szCs w:val="22"/>
        </w:rPr>
        <w:t>be presented for comment in the course of the hearing.</w:t>
      </w:r>
      <w:r w:rsidR="00405CFA" w:rsidRPr="00A601F7">
        <w:rPr>
          <w:sz w:val="22"/>
          <w:szCs w:val="22"/>
        </w:rPr>
        <w:t xml:space="preserve"> </w:t>
      </w:r>
    </w:p>
    <w:p w14:paraId="3233BDAE" w14:textId="77777777" w:rsidR="00A601F7" w:rsidRPr="00BF54CB" w:rsidRDefault="00A601F7" w:rsidP="00640668">
      <w:pPr>
        <w:jc w:val="both"/>
        <w:rPr>
          <w:sz w:val="16"/>
          <w:szCs w:val="16"/>
        </w:rPr>
      </w:pPr>
    </w:p>
    <w:p w14:paraId="5B6D31BA" w14:textId="240ED891" w:rsidR="00A601F7" w:rsidRDefault="00A601F7" w:rsidP="00A601F7">
      <w:pPr>
        <w:jc w:val="both"/>
        <w:rPr>
          <w:sz w:val="22"/>
          <w:szCs w:val="22"/>
        </w:rPr>
      </w:pPr>
      <w:r w:rsidRPr="00BF54CB">
        <w:rPr>
          <w:sz w:val="22"/>
          <w:szCs w:val="22"/>
        </w:rPr>
        <w:t xml:space="preserve">The proposed </w:t>
      </w:r>
      <w:r w:rsidR="00696A90">
        <w:rPr>
          <w:sz w:val="22"/>
          <w:szCs w:val="22"/>
        </w:rPr>
        <w:t xml:space="preserve">amendments </w:t>
      </w:r>
      <w:r w:rsidRPr="00BF54CB">
        <w:rPr>
          <w:sz w:val="22"/>
          <w:szCs w:val="22"/>
        </w:rPr>
        <w:t xml:space="preserve">may be examined and copied at cost at the Office of the City Clerk, City Hall, </w:t>
      </w:r>
      <w:r>
        <w:rPr>
          <w:sz w:val="22"/>
          <w:szCs w:val="22"/>
        </w:rPr>
        <w:t xml:space="preserve">580 Broad Street, </w:t>
      </w:r>
      <w:r w:rsidRPr="00BF54CB">
        <w:rPr>
          <w:sz w:val="22"/>
          <w:szCs w:val="22"/>
        </w:rPr>
        <w:t>Central</w:t>
      </w:r>
      <w:r>
        <w:rPr>
          <w:sz w:val="22"/>
          <w:szCs w:val="22"/>
        </w:rPr>
        <w:t xml:space="preserve"> Falls</w:t>
      </w:r>
      <w:r w:rsidRPr="00BF54CB">
        <w:rPr>
          <w:sz w:val="22"/>
          <w:szCs w:val="22"/>
        </w:rPr>
        <w:t xml:space="preserve">, </w:t>
      </w:r>
      <w:r w:rsidR="000D3F88">
        <w:rPr>
          <w:sz w:val="22"/>
          <w:szCs w:val="22"/>
        </w:rPr>
        <w:t xml:space="preserve">or at </w:t>
      </w:r>
      <w:r w:rsidR="000D3F88" w:rsidRPr="000D3F88">
        <w:rPr>
          <w:sz w:val="22"/>
          <w:szCs w:val="22"/>
        </w:rPr>
        <w:t>http://www.centralfallsri.us/city_council_meetings</w:t>
      </w:r>
      <w:r w:rsidR="000D3F88">
        <w:rPr>
          <w:sz w:val="22"/>
          <w:szCs w:val="22"/>
        </w:rPr>
        <w:t>.</w:t>
      </w:r>
    </w:p>
    <w:p w14:paraId="495D54C0" w14:textId="77777777" w:rsidR="000D3F88" w:rsidRPr="00BF54CB" w:rsidRDefault="000D3F88" w:rsidP="00A601F7">
      <w:pPr>
        <w:jc w:val="both"/>
        <w:rPr>
          <w:sz w:val="22"/>
          <w:szCs w:val="22"/>
        </w:rPr>
      </w:pPr>
    </w:p>
    <w:p w14:paraId="0719921A" w14:textId="000ACB1D" w:rsidR="00640668" w:rsidRPr="00BF54CB" w:rsidRDefault="00640668" w:rsidP="00640668">
      <w:pPr>
        <w:jc w:val="both"/>
        <w:rPr>
          <w:sz w:val="22"/>
          <w:szCs w:val="22"/>
        </w:rPr>
      </w:pPr>
      <w:r w:rsidRPr="009B08D2">
        <w:rPr>
          <w:sz w:val="22"/>
          <w:szCs w:val="22"/>
        </w:rPr>
        <w:t xml:space="preserve">Any persons interested in the above are respectfully requested to be present at the time and place to be heard thereon.  </w:t>
      </w:r>
      <w:r w:rsidR="000D3F88" w:rsidRPr="009B08D2">
        <w:rPr>
          <w:sz w:val="22"/>
          <w:szCs w:val="22"/>
        </w:rPr>
        <w:t xml:space="preserve">Please </w:t>
      </w:r>
      <w:r w:rsidRPr="009B08D2">
        <w:rPr>
          <w:sz w:val="22"/>
          <w:szCs w:val="22"/>
        </w:rPr>
        <w:t xml:space="preserve">contact the </w:t>
      </w:r>
      <w:r w:rsidR="000D3F88" w:rsidRPr="009B08D2">
        <w:rPr>
          <w:sz w:val="22"/>
          <w:szCs w:val="22"/>
        </w:rPr>
        <w:t xml:space="preserve">office of the </w:t>
      </w:r>
      <w:r w:rsidRPr="009B08D2">
        <w:rPr>
          <w:sz w:val="22"/>
          <w:szCs w:val="22"/>
        </w:rPr>
        <w:t xml:space="preserve">City Clerk at </w:t>
      </w:r>
      <w:r w:rsidR="00617CEF" w:rsidRPr="009B08D2">
        <w:rPr>
          <w:sz w:val="22"/>
          <w:szCs w:val="22"/>
        </w:rPr>
        <w:t>727</w:t>
      </w:r>
      <w:r w:rsidRPr="009B08D2">
        <w:rPr>
          <w:sz w:val="22"/>
          <w:szCs w:val="22"/>
        </w:rPr>
        <w:t>-</w:t>
      </w:r>
      <w:r w:rsidR="00852CF0" w:rsidRPr="009B08D2">
        <w:rPr>
          <w:sz w:val="22"/>
          <w:szCs w:val="22"/>
        </w:rPr>
        <w:t xml:space="preserve">7400 </w:t>
      </w:r>
      <w:r w:rsidR="000D3F88" w:rsidRPr="009B08D2">
        <w:rPr>
          <w:sz w:val="22"/>
          <w:szCs w:val="22"/>
        </w:rPr>
        <w:t>for assistance</w:t>
      </w:r>
      <w:r w:rsidR="000D3F88">
        <w:rPr>
          <w:sz w:val="22"/>
          <w:szCs w:val="22"/>
        </w:rPr>
        <w:t xml:space="preserve"> or questions regarding this hearing.</w:t>
      </w:r>
      <w:r w:rsidRPr="00BF54CB">
        <w:rPr>
          <w:sz w:val="22"/>
          <w:szCs w:val="22"/>
        </w:rPr>
        <w:t xml:space="preserve">  </w:t>
      </w:r>
    </w:p>
    <w:p w14:paraId="7B06A7A3" w14:textId="77777777" w:rsidR="00640668" w:rsidRPr="00BF54CB" w:rsidRDefault="00640668" w:rsidP="00640668">
      <w:pPr>
        <w:jc w:val="both"/>
        <w:rPr>
          <w:sz w:val="16"/>
          <w:szCs w:val="16"/>
        </w:rPr>
      </w:pPr>
    </w:p>
    <w:p w14:paraId="14E566DC" w14:textId="1C71D716" w:rsidR="005C7CEF" w:rsidRPr="00F5272D" w:rsidRDefault="00640668" w:rsidP="00EE56CD">
      <w:pPr>
        <w:jc w:val="both"/>
        <w:rPr>
          <w:sz w:val="22"/>
          <w:szCs w:val="22"/>
          <w:lang w:val="es-419"/>
        </w:rPr>
      </w:pPr>
      <w:r w:rsidRPr="00BF54CB">
        <w:rPr>
          <w:sz w:val="22"/>
          <w:szCs w:val="22"/>
        </w:rPr>
        <w:t xml:space="preserve">Per order of the City Council.    </w:t>
      </w:r>
      <w:r w:rsidR="00EF5709" w:rsidRPr="00F5272D">
        <w:rPr>
          <w:sz w:val="22"/>
          <w:szCs w:val="22"/>
          <w:lang w:val="es-419"/>
        </w:rPr>
        <w:t>Alberto DeBurgo</w:t>
      </w:r>
      <w:r w:rsidRPr="00F5272D">
        <w:rPr>
          <w:sz w:val="22"/>
          <w:szCs w:val="22"/>
          <w:lang w:val="es-419"/>
        </w:rPr>
        <w:t>, City Clerk</w:t>
      </w:r>
    </w:p>
    <w:p w14:paraId="3E149F5A" w14:textId="77777777" w:rsidR="00C70E8A" w:rsidRPr="00F5272D" w:rsidRDefault="00C70E8A" w:rsidP="00EE56CD">
      <w:pPr>
        <w:jc w:val="both"/>
        <w:rPr>
          <w:sz w:val="22"/>
          <w:szCs w:val="22"/>
          <w:lang w:val="es-419"/>
        </w:rPr>
      </w:pPr>
    </w:p>
    <w:p w14:paraId="5E257F70" w14:textId="77777777" w:rsidR="00C70E8A" w:rsidRPr="00F5272D" w:rsidRDefault="00C70E8A" w:rsidP="00EE56CD">
      <w:pPr>
        <w:jc w:val="both"/>
        <w:rPr>
          <w:sz w:val="22"/>
          <w:szCs w:val="22"/>
          <w:lang w:val="es-419"/>
        </w:rPr>
      </w:pPr>
    </w:p>
    <w:p w14:paraId="382446B2" w14:textId="77777777" w:rsidR="00C70E8A" w:rsidRPr="00F5272D" w:rsidRDefault="00C70E8A" w:rsidP="00EE56CD">
      <w:pPr>
        <w:jc w:val="both"/>
        <w:rPr>
          <w:sz w:val="22"/>
          <w:szCs w:val="22"/>
          <w:lang w:val="es-419"/>
        </w:rPr>
      </w:pPr>
    </w:p>
    <w:p w14:paraId="6BC55354" w14:textId="77777777" w:rsidR="00C70E8A" w:rsidRPr="00F5272D" w:rsidRDefault="00C70E8A" w:rsidP="00EE56CD">
      <w:pPr>
        <w:jc w:val="both"/>
        <w:rPr>
          <w:sz w:val="22"/>
          <w:szCs w:val="22"/>
          <w:lang w:val="es-419"/>
        </w:rPr>
      </w:pPr>
    </w:p>
    <w:p w14:paraId="74DC7C67" w14:textId="77777777" w:rsidR="00C70E8A" w:rsidRPr="00F5272D" w:rsidRDefault="00C70E8A" w:rsidP="00EE56CD">
      <w:pPr>
        <w:jc w:val="both"/>
        <w:rPr>
          <w:sz w:val="22"/>
          <w:szCs w:val="22"/>
          <w:lang w:val="es-419"/>
        </w:rPr>
      </w:pPr>
    </w:p>
    <w:p w14:paraId="48C53F34" w14:textId="77777777" w:rsidR="00F5272D" w:rsidRDefault="00F5272D" w:rsidP="00C70E8A">
      <w:pPr>
        <w:jc w:val="center"/>
        <w:rPr>
          <w:b/>
          <w:bCs/>
          <w:sz w:val="22"/>
          <w:szCs w:val="22"/>
          <w:lang w:val="es-419"/>
        </w:rPr>
      </w:pPr>
      <w:r w:rsidRPr="00F5272D">
        <w:rPr>
          <w:b/>
          <w:bCs/>
          <w:sz w:val="22"/>
          <w:szCs w:val="22"/>
          <w:lang w:val="es-419"/>
        </w:rPr>
        <w:lastRenderedPageBreak/>
        <w:t xml:space="preserve">Concejo Municipal de Central Falls </w:t>
      </w:r>
    </w:p>
    <w:p w14:paraId="75D7F817" w14:textId="7226778D" w:rsidR="00C70E8A" w:rsidRPr="00C70E8A" w:rsidRDefault="00C70E8A" w:rsidP="00C70E8A">
      <w:pPr>
        <w:jc w:val="center"/>
        <w:rPr>
          <w:b/>
          <w:bCs/>
          <w:sz w:val="22"/>
          <w:szCs w:val="22"/>
          <w:lang w:val="es-419"/>
        </w:rPr>
      </w:pPr>
      <w:r w:rsidRPr="00C70E8A">
        <w:rPr>
          <w:b/>
          <w:bCs/>
          <w:sz w:val="22"/>
          <w:szCs w:val="22"/>
          <w:lang w:val="es-419"/>
        </w:rPr>
        <w:t xml:space="preserve">Aviso de </w:t>
      </w:r>
      <w:r>
        <w:rPr>
          <w:b/>
          <w:bCs/>
          <w:sz w:val="22"/>
          <w:szCs w:val="22"/>
          <w:lang w:val="es-419"/>
        </w:rPr>
        <w:t>A</w:t>
      </w:r>
      <w:r w:rsidRPr="00C70E8A">
        <w:rPr>
          <w:b/>
          <w:bCs/>
          <w:sz w:val="22"/>
          <w:szCs w:val="22"/>
          <w:lang w:val="es-419"/>
        </w:rPr>
        <w:t xml:space="preserve">udiencia </w:t>
      </w:r>
      <w:r>
        <w:rPr>
          <w:b/>
          <w:bCs/>
          <w:sz w:val="22"/>
          <w:szCs w:val="22"/>
          <w:lang w:val="es-419"/>
        </w:rPr>
        <w:t>P</w:t>
      </w:r>
      <w:r w:rsidRPr="00C70E8A">
        <w:rPr>
          <w:b/>
          <w:bCs/>
          <w:sz w:val="22"/>
          <w:szCs w:val="22"/>
          <w:lang w:val="es-419"/>
        </w:rPr>
        <w:t>ública</w:t>
      </w:r>
    </w:p>
    <w:p w14:paraId="79559019" w14:textId="0D3BE777" w:rsidR="00C70E8A" w:rsidRPr="00C70E8A" w:rsidRDefault="00C70E8A" w:rsidP="00C70E8A">
      <w:pPr>
        <w:jc w:val="center"/>
        <w:rPr>
          <w:sz w:val="22"/>
          <w:szCs w:val="22"/>
          <w:lang w:val="es-419"/>
        </w:rPr>
      </w:pPr>
      <w:r w:rsidRPr="00C70E8A">
        <w:rPr>
          <w:b/>
          <w:bCs/>
          <w:sz w:val="22"/>
          <w:szCs w:val="22"/>
          <w:lang w:val="es-419"/>
        </w:rPr>
        <w:t xml:space="preserve">Enmiendas a la </w:t>
      </w:r>
      <w:r>
        <w:rPr>
          <w:b/>
          <w:bCs/>
          <w:sz w:val="22"/>
          <w:szCs w:val="22"/>
          <w:lang w:val="es-419"/>
        </w:rPr>
        <w:t>O</w:t>
      </w:r>
      <w:r w:rsidRPr="00C70E8A">
        <w:rPr>
          <w:b/>
          <w:bCs/>
          <w:sz w:val="22"/>
          <w:szCs w:val="22"/>
          <w:lang w:val="es-419"/>
        </w:rPr>
        <w:t xml:space="preserve">rdenanza de </w:t>
      </w:r>
      <w:r>
        <w:rPr>
          <w:b/>
          <w:bCs/>
          <w:sz w:val="22"/>
          <w:szCs w:val="22"/>
          <w:lang w:val="es-419"/>
        </w:rPr>
        <w:t>Z</w:t>
      </w:r>
      <w:r w:rsidRPr="00C70E8A">
        <w:rPr>
          <w:b/>
          <w:bCs/>
          <w:sz w:val="22"/>
          <w:szCs w:val="22"/>
          <w:lang w:val="es-419"/>
        </w:rPr>
        <w:t>onificación</w:t>
      </w:r>
    </w:p>
    <w:p w14:paraId="62861820" w14:textId="182F99F1" w:rsidR="00C70E8A" w:rsidRPr="00C70E8A" w:rsidRDefault="00C70E8A" w:rsidP="00C70E8A">
      <w:pPr>
        <w:jc w:val="both"/>
        <w:rPr>
          <w:sz w:val="22"/>
          <w:szCs w:val="22"/>
          <w:lang w:val="es-419"/>
        </w:rPr>
      </w:pPr>
    </w:p>
    <w:p w14:paraId="4D586601" w14:textId="08A619FF" w:rsidR="00C70E8A" w:rsidRPr="00C70E8A" w:rsidRDefault="00C70E8A" w:rsidP="00C70E8A">
      <w:pPr>
        <w:jc w:val="both"/>
        <w:rPr>
          <w:sz w:val="22"/>
          <w:szCs w:val="22"/>
          <w:lang w:val="es-419"/>
        </w:rPr>
      </w:pPr>
      <w:r w:rsidRPr="00C70E8A">
        <w:rPr>
          <w:sz w:val="22"/>
          <w:szCs w:val="22"/>
          <w:lang w:val="es-419"/>
        </w:rPr>
        <w:t xml:space="preserve">El Concejo Municipal de Central Falls llevará a cabo una audiencia pública sobre las enmiendas propuestas al Apéndice A del Código de Ordenanzas titulada “Zonificación” el miércoles 5 de junio de 2024 a las 6:00 p. m. en el </w:t>
      </w:r>
      <w:r w:rsidR="001F0287">
        <w:rPr>
          <w:sz w:val="22"/>
          <w:szCs w:val="22"/>
          <w:lang w:val="es-419"/>
        </w:rPr>
        <w:t>City Hall</w:t>
      </w:r>
      <w:r w:rsidRPr="00C70E8A">
        <w:rPr>
          <w:sz w:val="22"/>
          <w:szCs w:val="22"/>
          <w:lang w:val="es-419"/>
        </w:rPr>
        <w:t xml:space="preserve">, Cámaras del Concejo, 2do piso, 580 Broad </w:t>
      </w:r>
      <w:r w:rsidR="001F0287">
        <w:rPr>
          <w:sz w:val="22"/>
          <w:szCs w:val="22"/>
          <w:lang w:val="es-419"/>
        </w:rPr>
        <w:t>Street</w:t>
      </w:r>
      <w:r w:rsidRPr="00C70E8A">
        <w:rPr>
          <w:sz w:val="22"/>
          <w:szCs w:val="22"/>
          <w:lang w:val="es-419"/>
        </w:rPr>
        <w:t>, Central Falls, Rhode Island. Se dará oportunidad a todas las personas interesadas de ser escuchadas sobre el asunto de la ordenanza propuesta.</w:t>
      </w:r>
    </w:p>
    <w:p w14:paraId="534E2129" w14:textId="77777777" w:rsidR="00C70E8A" w:rsidRPr="00C70E8A" w:rsidRDefault="00C70E8A" w:rsidP="00C70E8A">
      <w:pPr>
        <w:jc w:val="both"/>
        <w:rPr>
          <w:sz w:val="22"/>
          <w:szCs w:val="22"/>
          <w:lang w:val="es-419"/>
        </w:rPr>
      </w:pPr>
    </w:p>
    <w:p w14:paraId="775AF1D7" w14:textId="0659B57F" w:rsidR="00C70E8A" w:rsidRPr="00C70E8A" w:rsidRDefault="00C70E8A" w:rsidP="00C70E8A">
      <w:pPr>
        <w:jc w:val="both"/>
        <w:rPr>
          <w:sz w:val="22"/>
          <w:szCs w:val="22"/>
          <w:lang w:val="es-419"/>
        </w:rPr>
      </w:pPr>
      <w:r w:rsidRPr="00C70E8A">
        <w:rPr>
          <w:sz w:val="22"/>
          <w:szCs w:val="22"/>
          <w:lang w:val="es-419"/>
        </w:rPr>
        <w:t>Los siguientes son cambios propuestos a la Ordenanza de Zonificación de Central Falls que está siendo considerada por el Con</w:t>
      </w:r>
      <w:r w:rsidR="000865DE">
        <w:rPr>
          <w:sz w:val="22"/>
          <w:szCs w:val="22"/>
          <w:lang w:val="es-419"/>
        </w:rPr>
        <w:t>c</w:t>
      </w:r>
      <w:r w:rsidRPr="00C70E8A">
        <w:rPr>
          <w:sz w:val="22"/>
          <w:szCs w:val="22"/>
          <w:lang w:val="es-419"/>
        </w:rPr>
        <w:t>ejo:</w:t>
      </w:r>
    </w:p>
    <w:p w14:paraId="76FCBE09" w14:textId="77777777" w:rsidR="00C70E8A" w:rsidRPr="00C70E8A" w:rsidRDefault="00C70E8A" w:rsidP="00C70E8A">
      <w:pPr>
        <w:jc w:val="both"/>
        <w:rPr>
          <w:sz w:val="22"/>
          <w:szCs w:val="22"/>
          <w:lang w:val="es-419"/>
        </w:rPr>
      </w:pPr>
    </w:p>
    <w:p w14:paraId="59136610" w14:textId="77777777" w:rsidR="00C70E8A" w:rsidRPr="00C70E8A" w:rsidRDefault="00C70E8A" w:rsidP="00C70E8A">
      <w:pPr>
        <w:jc w:val="both"/>
        <w:rPr>
          <w:sz w:val="22"/>
          <w:szCs w:val="22"/>
          <w:lang w:val="es-419"/>
        </w:rPr>
      </w:pPr>
      <w:r w:rsidRPr="00C70E8A">
        <w:rPr>
          <w:b/>
          <w:bCs/>
          <w:sz w:val="22"/>
          <w:szCs w:val="22"/>
          <w:lang w:val="es-419"/>
        </w:rPr>
        <w:t>Enmienda al Artículo I, Sección 101.4 “Distritos de zonificación superpuestos”</w:t>
      </w:r>
      <w:r w:rsidRPr="00C70E8A">
        <w:rPr>
          <w:sz w:val="22"/>
          <w:szCs w:val="22"/>
          <w:lang w:val="es-419"/>
        </w:rPr>
        <w:t xml:space="preserve"> agregando un distrito superpuesto especial de uso mixto OMUSOD Osram de la siguiente manera:</w:t>
      </w:r>
    </w:p>
    <w:p w14:paraId="583F6B52" w14:textId="77777777" w:rsidR="00C70E8A" w:rsidRPr="00C70E8A" w:rsidRDefault="00C70E8A" w:rsidP="00C70E8A">
      <w:pPr>
        <w:jc w:val="both"/>
        <w:rPr>
          <w:sz w:val="22"/>
          <w:szCs w:val="22"/>
          <w:lang w:val="es-419"/>
        </w:rPr>
      </w:pPr>
    </w:p>
    <w:p w14:paraId="14051E21" w14:textId="12D4750C" w:rsidR="00C70E8A" w:rsidRPr="00C70E8A" w:rsidRDefault="00C70E8A" w:rsidP="00C70E8A">
      <w:pPr>
        <w:jc w:val="both"/>
        <w:rPr>
          <w:sz w:val="22"/>
          <w:szCs w:val="22"/>
          <w:u w:val="single"/>
          <w:lang w:val="es-419"/>
        </w:rPr>
      </w:pPr>
      <w:r w:rsidRPr="00C70E8A">
        <w:rPr>
          <w:sz w:val="22"/>
          <w:szCs w:val="22"/>
          <w:u w:val="single"/>
          <w:lang w:val="es-419"/>
        </w:rPr>
        <w:t>Distrito de superposición especial de uso mixto OMUSOD Osram. Además de y para promover los propósitos de la zona de superposición de MBRD, esta zona de superposición está destinada a promover aún más el redesarrollo de las estructuras de fábricas industriales existentes y obsoletas ubicadas dentro de esta nueva zona de superposición de OMUSOD. OMUSOD abarcará las propiedades mejoradas ubicadas dentro de un área delimitada al norte por Division Street, luego al este por las vías del ferrocarril, luego al sur por Blackstone Street y luego al oeste por Broad Street. El Mapa de Zonificación oficial se modificará para reflejar este distrito superpuesto recién creado.</w:t>
      </w:r>
    </w:p>
    <w:p w14:paraId="23619CB3" w14:textId="5655D274" w:rsidR="00C70E8A" w:rsidRPr="00C70E8A" w:rsidRDefault="00C70E8A" w:rsidP="00C70E8A">
      <w:pPr>
        <w:jc w:val="both"/>
        <w:rPr>
          <w:sz w:val="22"/>
          <w:szCs w:val="22"/>
          <w:lang w:val="es-419"/>
        </w:rPr>
      </w:pPr>
    </w:p>
    <w:p w14:paraId="747AB4E8" w14:textId="353C1404" w:rsidR="00C70E8A" w:rsidRDefault="00C70E8A" w:rsidP="00C70E8A">
      <w:pPr>
        <w:jc w:val="both"/>
        <w:rPr>
          <w:sz w:val="22"/>
          <w:szCs w:val="22"/>
          <w:lang w:val="es-419"/>
        </w:rPr>
      </w:pPr>
      <w:r w:rsidRPr="00C70E8A">
        <w:rPr>
          <w:b/>
          <w:bCs/>
          <w:sz w:val="22"/>
          <w:szCs w:val="22"/>
          <w:lang w:val="es-419"/>
        </w:rPr>
        <w:t>Enmienda al Artículo III, Sección 304 “Regulaciones de Uso”</w:t>
      </w:r>
      <w:r w:rsidRPr="00C70E8A">
        <w:rPr>
          <w:sz w:val="22"/>
          <w:szCs w:val="22"/>
          <w:lang w:val="es-419"/>
        </w:rPr>
        <w:t xml:space="preserve"> agregando una nota a pie de página a la Tabla de Uso que indique que se permite el uso 48.3 Mini-Almacenamiento y Auto-Almacenamiento dentro de los edificios existentes en el distrito recién creado, de la siguiente manera</w:t>
      </w:r>
      <w:r>
        <w:rPr>
          <w:sz w:val="22"/>
          <w:szCs w:val="22"/>
          <w:lang w:val="es-419"/>
        </w:rPr>
        <w:t>:</w:t>
      </w:r>
    </w:p>
    <w:p w14:paraId="0D993F0A" w14:textId="39A478B4" w:rsidR="00C70E8A" w:rsidRDefault="00C70E8A" w:rsidP="00C70E8A">
      <w:pPr>
        <w:jc w:val="both"/>
        <w:rPr>
          <w:sz w:val="22"/>
          <w:szCs w:val="22"/>
          <w:lang w:val="es-419"/>
        </w:rPr>
      </w:pPr>
    </w:p>
    <w:tbl>
      <w:tblPr>
        <w:tblStyle w:val="TableGrid"/>
        <w:tblW w:w="10530" w:type="dxa"/>
        <w:tblInd w:w="-5" w:type="dxa"/>
        <w:tblLook w:val="04A0" w:firstRow="1" w:lastRow="0" w:firstColumn="1" w:lastColumn="0" w:noHBand="0" w:noVBand="1"/>
      </w:tblPr>
      <w:tblGrid>
        <w:gridCol w:w="720"/>
        <w:gridCol w:w="3690"/>
        <w:gridCol w:w="630"/>
        <w:gridCol w:w="630"/>
        <w:gridCol w:w="630"/>
        <w:gridCol w:w="630"/>
        <w:gridCol w:w="630"/>
        <w:gridCol w:w="630"/>
        <w:gridCol w:w="630"/>
        <w:gridCol w:w="630"/>
        <w:gridCol w:w="511"/>
        <w:gridCol w:w="569"/>
      </w:tblGrid>
      <w:tr w:rsidR="00C70E8A" w:rsidRPr="008E0985" w14:paraId="4F44A270" w14:textId="77777777" w:rsidTr="007A661D">
        <w:tc>
          <w:tcPr>
            <w:tcW w:w="720" w:type="dxa"/>
          </w:tcPr>
          <w:p w14:paraId="4F8DFDA2" w14:textId="77777777" w:rsidR="00C70E8A" w:rsidRPr="00F5272D" w:rsidRDefault="00C70E8A" w:rsidP="007A661D">
            <w:pPr>
              <w:spacing w:after="120"/>
              <w:jc w:val="both"/>
              <w:rPr>
                <w:rFonts w:ascii="Garamond" w:eastAsia="Times New Roman" w:hAnsi="Garamond"/>
                <w:bCs/>
                <w:lang w:val="es-419"/>
              </w:rPr>
            </w:pPr>
          </w:p>
        </w:tc>
        <w:tc>
          <w:tcPr>
            <w:tcW w:w="3690" w:type="dxa"/>
          </w:tcPr>
          <w:p w14:paraId="154803A0" w14:textId="513E8B4F" w:rsidR="00C70E8A" w:rsidRPr="008E0985" w:rsidRDefault="00C70E8A" w:rsidP="007A661D">
            <w:pPr>
              <w:spacing w:after="120"/>
              <w:jc w:val="both"/>
              <w:rPr>
                <w:rFonts w:ascii="Garamond" w:eastAsia="Times New Roman" w:hAnsi="Garamond"/>
                <w:bCs/>
              </w:rPr>
            </w:pPr>
            <w:r>
              <w:rPr>
                <w:rFonts w:ascii="Garamond" w:eastAsia="Times New Roman" w:hAnsi="Garamond"/>
                <w:bCs/>
              </w:rPr>
              <w:t xml:space="preserve">Distritos de Zonificación </w:t>
            </w:r>
          </w:p>
        </w:tc>
        <w:tc>
          <w:tcPr>
            <w:tcW w:w="630" w:type="dxa"/>
          </w:tcPr>
          <w:p w14:paraId="06BFC774"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R-1</w:t>
            </w:r>
          </w:p>
        </w:tc>
        <w:tc>
          <w:tcPr>
            <w:tcW w:w="630" w:type="dxa"/>
          </w:tcPr>
          <w:p w14:paraId="065354B5"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R-2</w:t>
            </w:r>
          </w:p>
        </w:tc>
        <w:tc>
          <w:tcPr>
            <w:tcW w:w="630" w:type="dxa"/>
          </w:tcPr>
          <w:p w14:paraId="45E553A2"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R-3</w:t>
            </w:r>
          </w:p>
        </w:tc>
        <w:tc>
          <w:tcPr>
            <w:tcW w:w="630" w:type="dxa"/>
          </w:tcPr>
          <w:p w14:paraId="09C64A51"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C-1</w:t>
            </w:r>
          </w:p>
        </w:tc>
        <w:tc>
          <w:tcPr>
            <w:tcW w:w="630" w:type="dxa"/>
          </w:tcPr>
          <w:p w14:paraId="171DBE73"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C-2</w:t>
            </w:r>
          </w:p>
        </w:tc>
        <w:tc>
          <w:tcPr>
            <w:tcW w:w="630" w:type="dxa"/>
          </w:tcPr>
          <w:p w14:paraId="6B1FFE04"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C-D</w:t>
            </w:r>
          </w:p>
        </w:tc>
        <w:tc>
          <w:tcPr>
            <w:tcW w:w="630" w:type="dxa"/>
          </w:tcPr>
          <w:p w14:paraId="4560E127"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M-1</w:t>
            </w:r>
          </w:p>
        </w:tc>
        <w:tc>
          <w:tcPr>
            <w:tcW w:w="630" w:type="dxa"/>
          </w:tcPr>
          <w:p w14:paraId="30AA7F31"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M-2</w:t>
            </w:r>
          </w:p>
        </w:tc>
        <w:tc>
          <w:tcPr>
            <w:tcW w:w="511" w:type="dxa"/>
          </w:tcPr>
          <w:p w14:paraId="17DE5577"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P</w:t>
            </w:r>
          </w:p>
        </w:tc>
        <w:tc>
          <w:tcPr>
            <w:tcW w:w="569" w:type="dxa"/>
          </w:tcPr>
          <w:p w14:paraId="478187D4" w14:textId="77777777" w:rsidR="00C70E8A" w:rsidRPr="008E0985" w:rsidRDefault="00C70E8A" w:rsidP="007A661D">
            <w:pPr>
              <w:spacing w:after="120"/>
              <w:jc w:val="both"/>
              <w:rPr>
                <w:rFonts w:ascii="Garamond" w:eastAsia="Times New Roman" w:hAnsi="Garamond"/>
                <w:bCs/>
              </w:rPr>
            </w:pPr>
            <w:r w:rsidRPr="008E0985">
              <w:rPr>
                <w:rFonts w:ascii="Garamond" w:eastAsia="Times New Roman" w:hAnsi="Garamond"/>
                <w:bCs/>
              </w:rPr>
              <w:t>CM</w:t>
            </w:r>
          </w:p>
        </w:tc>
      </w:tr>
      <w:tr w:rsidR="00C70E8A" w:rsidRPr="008E0985" w14:paraId="7764A129" w14:textId="77777777" w:rsidTr="007A661D">
        <w:tc>
          <w:tcPr>
            <w:tcW w:w="720" w:type="dxa"/>
          </w:tcPr>
          <w:p w14:paraId="17187509" w14:textId="77777777" w:rsidR="00C70E8A" w:rsidRPr="008E0985" w:rsidRDefault="00C70E8A" w:rsidP="007A661D">
            <w:pPr>
              <w:spacing w:after="120"/>
              <w:jc w:val="both"/>
              <w:rPr>
                <w:rFonts w:ascii="Garamond" w:eastAsia="Times New Roman" w:hAnsi="Garamond"/>
                <w:b/>
              </w:rPr>
            </w:pPr>
            <w:r w:rsidRPr="008E0985">
              <w:rPr>
                <w:rFonts w:ascii="Garamond" w:eastAsia="Times New Roman" w:hAnsi="Garamond"/>
                <w:b/>
              </w:rPr>
              <w:t>4.0</w:t>
            </w:r>
          </w:p>
        </w:tc>
        <w:tc>
          <w:tcPr>
            <w:tcW w:w="3690" w:type="dxa"/>
          </w:tcPr>
          <w:p w14:paraId="204EA5A6" w14:textId="6B9CA61F" w:rsidR="00C70E8A" w:rsidRPr="008E0985" w:rsidRDefault="00C70E8A" w:rsidP="007A661D">
            <w:pPr>
              <w:spacing w:after="120"/>
              <w:jc w:val="both"/>
              <w:rPr>
                <w:rFonts w:ascii="Garamond" w:eastAsia="Times New Roman" w:hAnsi="Garamond"/>
                <w:b/>
              </w:rPr>
            </w:pPr>
            <w:r>
              <w:rPr>
                <w:rFonts w:ascii="Garamond" w:eastAsia="Times New Roman" w:hAnsi="Garamond"/>
                <w:b/>
              </w:rPr>
              <w:t>SERVICIOS GENERALES</w:t>
            </w:r>
          </w:p>
        </w:tc>
        <w:tc>
          <w:tcPr>
            <w:tcW w:w="630" w:type="dxa"/>
          </w:tcPr>
          <w:p w14:paraId="0435A0CF" w14:textId="392CF06F" w:rsidR="00C70E8A" w:rsidRPr="008E0985" w:rsidRDefault="00C70E8A" w:rsidP="007A661D">
            <w:pPr>
              <w:spacing w:after="120"/>
              <w:jc w:val="both"/>
              <w:rPr>
                <w:rFonts w:ascii="Garamond" w:eastAsia="Times New Roman" w:hAnsi="Garamond"/>
                <w:bCs/>
              </w:rPr>
            </w:pPr>
          </w:p>
        </w:tc>
        <w:tc>
          <w:tcPr>
            <w:tcW w:w="630" w:type="dxa"/>
          </w:tcPr>
          <w:p w14:paraId="1866CDF7" w14:textId="77777777" w:rsidR="00C70E8A" w:rsidRPr="008E0985" w:rsidRDefault="00C70E8A" w:rsidP="007A661D">
            <w:pPr>
              <w:spacing w:after="120"/>
              <w:jc w:val="both"/>
              <w:rPr>
                <w:rFonts w:ascii="Garamond" w:eastAsia="Times New Roman" w:hAnsi="Garamond"/>
                <w:bCs/>
              </w:rPr>
            </w:pPr>
          </w:p>
        </w:tc>
        <w:tc>
          <w:tcPr>
            <w:tcW w:w="630" w:type="dxa"/>
          </w:tcPr>
          <w:p w14:paraId="3AF82904" w14:textId="77777777" w:rsidR="00C70E8A" w:rsidRPr="008E0985" w:rsidRDefault="00C70E8A" w:rsidP="007A661D">
            <w:pPr>
              <w:spacing w:after="120"/>
              <w:jc w:val="both"/>
              <w:rPr>
                <w:rFonts w:ascii="Garamond" w:eastAsia="Times New Roman" w:hAnsi="Garamond"/>
                <w:bCs/>
              </w:rPr>
            </w:pPr>
          </w:p>
        </w:tc>
        <w:tc>
          <w:tcPr>
            <w:tcW w:w="630" w:type="dxa"/>
          </w:tcPr>
          <w:p w14:paraId="5D4A3F57" w14:textId="77777777" w:rsidR="00C70E8A" w:rsidRPr="008E0985" w:rsidRDefault="00C70E8A" w:rsidP="007A661D">
            <w:pPr>
              <w:spacing w:after="120"/>
              <w:jc w:val="both"/>
              <w:rPr>
                <w:rFonts w:ascii="Garamond" w:eastAsia="Times New Roman" w:hAnsi="Garamond"/>
                <w:bCs/>
              </w:rPr>
            </w:pPr>
          </w:p>
        </w:tc>
        <w:tc>
          <w:tcPr>
            <w:tcW w:w="630" w:type="dxa"/>
          </w:tcPr>
          <w:p w14:paraId="046CD1FD" w14:textId="77777777" w:rsidR="00C70E8A" w:rsidRPr="008E0985" w:rsidRDefault="00C70E8A" w:rsidP="007A661D">
            <w:pPr>
              <w:spacing w:after="120"/>
              <w:jc w:val="both"/>
              <w:rPr>
                <w:rFonts w:ascii="Garamond" w:eastAsia="Times New Roman" w:hAnsi="Garamond"/>
                <w:bCs/>
              </w:rPr>
            </w:pPr>
          </w:p>
        </w:tc>
        <w:tc>
          <w:tcPr>
            <w:tcW w:w="630" w:type="dxa"/>
          </w:tcPr>
          <w:p w14:paraId="5DC0812B" w14:textId="77777777" w:rsidR="00C70E8A" w:rsidRPr="008E0985" w:rsidRDefault="00C70E8A" w:rsidP="007A661D">
            <w:pPr>
              <w:spacing w:after="120"/>
              <w:jc w:val="both"/>
              <w:rPr>
                <w:rFonts w:ascii="Garamond" w:eastAsia="Times New Roman" w:hAnsi="Garamond"/>
                <w:bCs/>
              </w:rPr>
            </w:pPr>
          </w:p>
        </w:tc>
        <w:tc>
          <w:tcPr>
            <w:tcW w:w="630" w:type="dxa"/>
          </w:tcPr>
          <w:p w14:paraId="3D28398B" w14:textId="77777777" w:rsidR="00C70E8A" w:rsidRPr="008E0985" w:rsidRDefault="00C70E8A" w:rsidP="007A661D">
            <w:pPr>
              <w:spacing w:after="120"/>
              <w:jc w:val="both"/>
              <w:rPr>
                <w:rFonts w:ascii="Garamond" w:eastAsia="Times New Roman" w:hAnsi="Garamond"/>
                <w:bCs/>
              </w:rPr>
            </w:pPr>
          </w:p>
        </w:tc>
        <w:tc>
          <w:tcPr>
            <w:tcW w:w="630" w:type="dxa"/>
          </w:tcPr>
          <w:p w14:paraId="4B346B0D" w14:textId="77777777" w:rsidR="00C70E8A" w:rsidRPr="008E0985" w:rsidRDefault="00C70E8A" w:rsidP="007A661D">
            <w:pPr>
              <w:spacing w:after="120"/>
              <w:jc w:val="both"/>
              <w:rPr>
                <w:rFonts w:ascii="Garamond" w:eastAsia="Times New Roman" w:hAnsi="Garamond"/>
                <w:bCs/>
              </w:rPr>
            </w:pPr>
          </w:p>
        </w:tc>
        <w:tc>
          <w:tcPr>
            <w:tcW w:w="511" w:type="dxa"/>
          </w:tcPr>
          <w:p w14:paraId="34FBBE98" w14:textId="77777777" w:rsidR="00C70E8A" w:rsidRPr="008E0985" w:rsidRDefault="00C70E8A" w:rsidP="007A661D">
            <w:pPr>
              <w:spacing w:after="120"/>
              <w:jc w:val="both"/>
              <w:rPr>
                <w:rFonts w:ascii="Garamond" w:eastAsia="Times New Roman" w:hAnsi="Garamond"/>
                <w:bCs/>
              </w:rPr>
            </w:pPr>
          </w:p>
        </w:tc>
        <w:tc>
          <w:tcPr>
            <w:tcW w:w="569" w:type="dxa"/>
          </w:tcPr>
          <w:p w14:paraId="38CBA423" w14:textId="77777777" w:rsidR="00C70E8A" w:rsidRPr="008E0985" w:rsidRDefault="00C70E8A" w:rsidP="007A661D">
            <w:pPr>
              <w:spacing w:after="120"/>
              <w:jc w:val="both"/>
              <w:rPr>
                <w:rFonts w:ascii="Garamond" w:eastAsia="Times New Roman" w:hAnsi="Garamond"/>
                <w:bCs/>
              </w:rPr>
            </w:pPr>
          </w:p>
        </w:tc>
      </w:tr>
      <w:tr w:rsidR="00C70E8A" w:rsidRPr="008E0985" w14:paraId="31E428B3" w14:textId="77777777" w:rsidTr="007A661D">
        <w:tc>
          <w:tcPr>
            <w:tcW w:w="720" w:type="dxa"/>
          </w:tcPr>
          <w:p w14:paraId="6A87A8EA" w14:textId="77777777" w:rsidR="00C70E8A" w:rsidRPr="00CB2414" w:rsidRDefault="00C70E8A" w:rsidP="007A661D">
            <w:pPr>
              <w:spacing w:after="120"/>
              <w:jc w:val="both"/>
              <w:rPr>
                <w:rFonts w:ascii="Garamond" w:eastAsia="Times New Roman" w:hAnsi="Garamond"/>
                <w:b/>
              </w:rPr>
            </w:pPr>
            <w:r w:rsidRPr="00CB2414">
              <w:rPr>
                <w:rFonts w:ascii="Garamond" w:eastAsia="Times New Roman" w:hAnsi="Garamond"/>
                <w:b/>
              </w:rPr>
              <w:t>48.3</w:t>
            </w:r>
          </w:p>
        </w:tc>
        <w:tc>
          <w:tcPr>
            <w:tcW w:w="3690" w:type="dxa"/>
          </w:tcPr>
          <w:p w14:paraId="4837BCCC" w14:textId="77777777" w:rsidR="00C70E8A" w:rsidRPr="001F0287" w:rsidRDefault="00C70E8A" w:rsidP="00C70E8A">
            <w:pPr>
              <w:rPr>
                <w:rFonts w:ascii="Garamond" w:hAnsi="Garamond"/>
                <w:lang w:val="es-419"/>
              </w:rPr>
            </w:pPr>
            <w:r w:rsidRPr="001F0287">
              <w:rPr>
                <w:rFonts w:ascii="Garamond" w:hAnsi="Garamond"/>
                <w:lang w:val="es-419"/>
              </w:rPr>
              <w:t xml:space="preserve">Mini-Almacenamiento y </w:t>
            </w:r>
          </w:p>
          <w:p w14:paraId="7167FF22" w14:textId="609ED3FF" w:rsidR="00C70E8A" w:rsidRPr="00C70E8A" w:rsidRDefault="00C70E8A" w:rsidP="00C70E8A">
            <w:pPr>
              <w:rPr>
                <w:lang w:val="es-419"/>
              </w:rPr>
            </w:pPr>
            <w:r w:rsidRPr="001F0287">
              <w:rPr>
                <w:rFonts w:ascii="Garamond" w:hAnsi="Garamond"/>
                <w:lang w:val="es-419"/>
              </w:rPr>
              <w:t>Auto-Almacenameinto</w:t>
            </w:r>
          </w:p>
        </w:tc>
        <w:tc>
          <w:tcPr>
            <w:tcW w:w="630" w:type="dxa"/>
          </w:tcPr>
          <w:p w14:paraId="3DB3AB4B"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30BF4479"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34B2A2D6"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441DAD28"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4188A0F6"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3193D782"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630" w:type="dxa"/>
          </w:tcPr>
          <w:p w14:paraId="0FBF5D69" w14:textId="77777777" w:rsidR="00C70E8A" w:rsidRPr="00CB2414" w:rsidRDefault="00C70E8A" w:rsidP="007A661D">
            <w:pPr>
              <w:spacing w:after="120"/>
              <w:jc w:val="both"/>
              <w:rPr>
                <w:rFonts w:ascii="Garamond" w:eastAsia="Times New Roman" w:hAnsi="Garamond"/>
                <w:bCs/>
                <w:u w:val="single"/>
              </w:rPr>
            </w:pPr>
            <w:r w:rsidRPr="00CB2414">
              <w:rPr>
                <w:rFonts w:ascii="Garamond" w:eastAsia="Times New Roman" w:hAnsi="Garamond"/>
                <w:bCs/>
                <w:szCs w:val="20"/>
              </w:rPr>
              <w:t xml:space="preserve">N </w:t>
            </w:r>
            <w:r w:rsidRPr="00CB2414">
              <w:rPr>
                <w:rFonts w:ascii="Garamond" w:eastAsia="Times New Roman" w:hAnsi="Garamond" w:cstheme="minorHAnsi"/>
                <w:bCs/>
                <w:szCs w:val="20"/>
                <w:u w:val="single"/>
              </w:rPr>
              <w:t>²</w:t>
            </w:r>
          </w:p>
        </w:tc>
        <w:tc>
          <w:tcPr>
            <w:tcW w:w="630" w:type="dxa"/>
          </w:tcPr>
          <w:p w14:paraId="3B6F4E0D" w14:textId="77777777" w:rsidR="00C70E8A" w:rsidRPr="008E0985" w:rsidRDefault="00C70E8A" w:rsidP="007A661D">
            <w:pPr>
              <w:spacing w:after="120"/>
              <w:jc w:val="both"/>
              <w:rPr>
                <w:rFonts w:ascii="Garamond" w:eastAsia="Times New Roman" w:hAnsi="Garamond"/>
                <w:bCs/>
                <w:u w:val="single"/>
              </w:rPr>
            </w:pPr>
            <w:r w:rsidRPr="00CB2414">
              <w:rPr>
                <w:rFonts w:ascii="Garamond" w:eastAsia="Times New Roman" w:hAnsi="Garamond"/>
                <w:bCs/>
                <w:szCs w:val="20"/>
              </w:rPr>
              <w:t xml:space="preserve">N </w:t>
            </w:r>
            <w:r w:rsidRPr="00CB2414">
              <w:rPr>
                <w:rFonts w:ascii="Garamond" w:eastAsia="Times New Roman" w:hAnsi="Garamond" w:cstheme="minorHAnsi"/>
                <w:bCs/>
                <w:szCs w:val="20"/>
                <w:u w:val="single"/>
              </w:rPr>
              <w:t>²</w:t>
            </w:r>
          </w:p>
        </w:tc>
        <w:tc>
          <w:tcPr>
            <w:tcW w:w="511" w:type="dxa"/>
          </w:tcPr>
          <w:p w14:paraId="38121872"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c>
          <w:tcPr>
            <w:tcW w:w="569" w:type="dxa"/>
          </w:tcPr>
          <w:p w14:paraId="2940B172" w14:textId="77777777" w:rsidR="00C70E8A" w:rsidRPr="00CB2414" w:rsidRDefault="00C70E8A" w:rsidP="007A661D">
            <w:pPr>
              <w:spacing w:after="120"/>
              <w:jc w:val="both"/>
              <w:rPr>
                <w:rFonts w:ascii="Garamond" w:eastAsia="Times New Roman" w:hAnsi="Garamond"/>
                <w:bCs/>
              </w:rPr>
            </w:pPr>
            <w:r w:rsidRPr="00CB2414">
              <w:rPr>
                <w:rFonts w:ascii="Garamond" w:eastAsia="Times New Roman" w:hAnsi="Garamond"/>
                <w:bCs/>
              </w:rPr>
              <w:t>N</w:t>
            </w:r>
          </w:p>
        </w:tc>
      </w:tr>
      <w:tr w:rsidR="00C70E8A" w:rsidRPr="00073227" w14:paraId="4E38E372" w14:textId="77777777" w:rsidTr="007A661D">
        <w:tc>
          <w:tcPr>
            <w:tcW w:w="10530" w:type="dxa"/>
            <w:gridSpan w:val="12"/>
          </w:tcPr>
          <w:p w14:paraId="18FA1D0B" w14:textId="35A88F04" w:rsidR="00C70E8A" w:rsidRPr="00C70E8A" w:rsidRDefault="00C70E8A" w:rsidP="007A661D">
            <w:pPr>
              <w:spacing w:after="120"/>
              <w:jc w:val="both"/>
              <w:rPr>
                <w:rFonts w:ascii="Garamond" w:hAnsi="Garamond"/>
                <w:bCs/>
                <w:u w:val="single"/>
                <w:lang w:val="es-419"/>
              </w:rPr>
            </w:pPr>
            <w:r w:rsidRPr="00C70E8A">
              <w:rPr>
                <w:rFonts w:ascii="Garamond" w:hAnsi="Garamond"/>
                <w:bCs/>
                <w:u w:val="single"/>
                <w:vertAlign w:val="superscript"/>
                <w:lang w:val="es-419"/>
              </w:rPr>
              <w:t>2</w:t>
            </w:r>
            <w:r w:rsidRPr="00C70E8A">
              <w:rPr>
                <w:rFonts w:ascii="Garamond" w:hAnsi="Garamond"/>
                <w:bCs/>
                <w:u w:val="single"/>
                <w:lang w:val="es-419"/>
              </w:rPr>
              <w:t xml:space="preserve"> Las instalaciones de mini</w:t>
            </w:r>
            <w:r w:rsidR="001F0287">
              <w:rPr>
                <w:rFonts w:ascii="Garamond" w:hAnsi="Garamond"/>
                <w:bCs/>
                <w:u w:val="single"/>
                <w:lang w:val="es-419"/>
              </w:rPr>
              <w:t>-</w:t>
            </w:r>
            <w:r w:rsidRPr="00C70E8A">
              <w:rPr>
                <w:rFonts w:ascii="Garamond" w:hAnsi="Garamond"/>
                <w:bCs/>
                <w:u w:val="single"/>
                <w:lang w:val="es-419"/>
              </w:rPr>
              <w:t>almacenamiento y auto</w:t>
            </w:r>
            <w:r w:rsidR="001F0287">
              <w:rPr>
                <w:rFonts w:ascii="Garamond" w:hAnsi="Garamond"/>
                <w:bCs/>
                <w:u w:val="single"/>
                <w:lang w:val="es-419"/>
              </w:rPr>
              <w:t>-</w:t>
            </w:r>
            <w:r w:rsidRPr="00C70E8A">
              <w:rPr>
                <w:rFonts w:ascii="Garamond" w:hAnsi="Garamond"/>
                <w:bCs/>
                <w:u w:val="single"/>
                <w:lang w:val="es-419"/>
              </w:rPr>
              <w:t>almacenamiento están permitidas por derecho únicamente dentro de edificios existentes ubicados en propiedades en OMUSOD, a partir de la fecha en que se estableció el OMUSOD en virtud del presente, hasta un límite total de 230,000 pies cuadrados de mini</w:t>
            </w:r>
            <w:r w:rsidR="001F0287">
              <w:rPr>
                <w:rFonts w:ascii="Garamond" w:hAnsi="Garamond"/>
                <w:bCs/>
                <w:u w:val="single"/>
                <w:lang w:val="es-419"/>
              </w:rPr>
              <w:t>-</w:t>
            </w:r>
            <w:r w:rsidRPr="00C70E8A">
              <w:rPr>
                <w:rFonts w:ascii="Garamond" w:hAnsi="Garamond"/>
                <w:bCs/>
                <w:u w:val="single"/>
                <w:lang w:val="es-419"/>
              </w:rPr>
              <w:t>almacenamiento y auto</w:t>
            </w:r>
            <w:r w:rsidR="001F0287">
              <w:rPr>
                <w:rFonts w:ascii="Garamond" w:hAnsi="Garamond"/>
                <w:bCs/>
                <w:u w:val="single"/>
                <w:lang w:val="es-419"/>
              </w:rPr>
              <w:t>-</w:t>
            </w:r>
            <w:r w:rsidRPr="00C70E8A">
              <w:rPr>
                <w:rFonts w:ascii="Garamond" w:hAnsi="Garamond"/>
                <w:bCs/>
                <w:u w:val="single"/>
                <w:lang w:val="es-419"/>
              </w:rPr>
              <w:t>almacenamiento. dentro de la OMUSOD.</w:t>
            </w:r>
          </w:p>
        </w:tc>
      </w:tr>
    </w:tbl>
    <w:p w14:paraId="5A7EDA6A" w14:textId="707948D8" w:rsidR="00C70E8A" w:rsidRDefault="00C70E8A" w:rsidP="00C70E8A">
      <w:pPr>
        <w:jc w:val="both"/>
        <w:rPr>
          <w:sz w:val="22"/>
          <w:szCs w:val="22"/>
          <w:lang w:val="es-419"/>
        </w:rPr>
      </w:pPr>
    </w:p>
    <w:p w14:paraId="66F6F74E" w14:textId="75B77604" w:rsidR="00C70E8A" w:rsidRDefault="001F0287" w:rsidP="00C70E8A">
      <w:pPr>
        <w:jc w:val="both"/>
        <w:rPr>
          <w:sz w:val="22"/>
          <w:szCs w:val="22"/>
          <w:lang w:val="es-419"/>
        </w:rPr>
      </w:pPr>
      <w:r>
        <w:rPr>
          <w:noProof/>
        </w:rPr>
        <w:drawing>
          <wp:anchor distT="0" distB="0" distL="114300" distR="114300" simplePos="0" relativeHeight="251660288" behindDoc="1" locked="0" layoutInCell="1" allowOverlap="1" wp14:anchorId="2BFA07E2" wp14:editId="5CA2DD9A">
            <wp:simplePos x="0" y="0"/>
            <wp:positionH relativeFrom="column">
              <wp:posOffset>4784090</wp:posOffset>
            </wp:positionH>
            <wp:positionV relativeFrom="paragraph">
              <wp:posOffset>-132715</wp:posOffset>
            </wp:positionV>
            <wp:extent cx="2243455" cy="3905885"/>
            <wp:effectExtent l="0" t="0" r="4445" b="0"/>
            <wp:wrapSquare wrapText="bothSides"/>
            <wp:docPr id="458004800"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04237" name="Picture 1" descr="A map of a neighborhoo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3455" cy="3905885"/>
                    </a:xfrm>
                    <a:prstGeom prst="rect">
                      <a:avLst/>
                    </a:prstGeom>
                  </pic:spPr>
                </pic:pic>
              </a:graphicData>
            </a:graphic>
            <wp14:sizeRelH relativeFrom="margin">
              <wp14:pctWidth>0</wp14:pctWidth>
            </wp14:sizeRelH>
            <wp14:sizeRelV relativeFrom="margin">
              <wp14:pctHeight>0</wp14:pctHeight>
            </wp14:sizeRelV>
          </wp:anchor>
        </w:drawing>
      </w:r>
      <w:r w:rsidR="00C70E8A" w:rsidRPr="00C70E8A">
        <w:rPr>
          <w:b/>
          <w:bCs/>
          <w:sz w:val="22"/>
          <w:szCs w:val="22"/>
          <w:lang w:val="es-419"/>
        </w:rPr>
        <w:t>Enmienda al Artículo VI, Sección 603</w:t>
      </w:r>
      <w:r w:rsidR="00C70E8A" w:rsidRPr="00C70E8A">
        <w:rPr>
          <w:sz w:val="22"/>
          <w:szCs w:val="22"/>
          <w:lang w:val="es-419"/>
        </w:rPr>
        <w:t>, actualmente reservada, para describir los parámetros para el distrito recién creado. El texto completo se puede examinar como se indica a continuación.</w:t>
      </w:r>
    </w:p>
    <w:p w14:paraId="24298159" w14:textId="46F5F136" w:rsidR="00C70E8A" w:rsidRDefault="00C70E8A" w:rsidP="00C70E8A">
      <w:pPr>
        <w:jc w:val="both"/>
        <w:rPr>
          <w:sz w:val="22"/>
          <w:szCs w:val="22"/>
          <w:lang w:val="es-419"/>
        </w:rPr>
      </w:pPr>
    </w:p>
    <w:p w14:paraId="7179D625" w14:textId="19AAC380" w:rsidR="00C70E8A" w:rsidRPr="00C70E8A" w:rsidRDefault="00C70E8A" w:rsidP="00C70E8A">
      <w:pPr>
        <w:jc w:val="both"/>
        <w:rPr>
          <w:sz w:val="22"/>
          <w:szCs w:val="22"/>
          <w:lang w:val="es-419"/>
        </w:rPr>
      </w:pPr>
      <w:r w:rsidRPr="00C70E8A">
        <w:rPr>
          <w:b/>
          <w:bCs/>
          <w:sz w:val="22"/>
          <w:szCs w:val="22"/>
          <w:lang w:val="es-419"/>
        </w:rPr>
        <w:t>La siguiente es la enmienda propuesta al Mapa de Zonificación oficial:</w:t>
      </w:r>
      <w:r w:rsidRPr="00C70E8A">
        <w:rPr>
          <w:sz w:val="22"/>
          <w:szCs w:val="22"/>
          <w:lang w:val="es-419"/>
        </w:rPr>
        <w:t xml:space="preserve"> Adición del distrito superpuesto especial de uso mixto OMUSOD Osram que representa el área delimitada descrita en la Sección 101.4.</w:t>
      </w:r>
    </w:p>
    <w:p w14:paraId="6A1948AB" w14:textId="6356813A" w:rsidR="00C70E8A" w:rsidRPr="00C70E8A" w:rsidRDefault="00C70E8A" w:rsidP="00C70E8A">
      <w:pPr>
        <w:jc w:val="both"/>
        <w:rPr>
          <w:sz w:val="22"/>
          <w:szCs w:val="22"/>
          <w:lang w:val="es-419"/>
        </w:rPr>
      </w:pPr>
    </w:p>
    <w:p w14:paraId="6705B271" w14:textId="77777777" w:rsidR="00C70E8A" w:rsidRPr="00C70E8A" w:rsidRDefault="00C70E8A" w:rsidP="00C70E8A">
      <w:pPr>
        <w:jc w:val="both"/>
        <w:rPr>
          <w:sz w:val="22"/>
          <w:szCs w:val="22"/>
          <w:lang w:val="es-419"/>
        </w:rPr>
      </w:pPr>
      <w:r w:rsidRPr="00C70E8A">
        <w:rPr>
          <w:sz w:val="22"/>
          <w:szCs w:val="22"/>
          <w:lang w:val="es-419"/>
        </w:rPr>
        <w:t>Las enmiendas propuestas pueden alterarse o enmendarse antes del cierre de la audiencia pública sin más publicidad o aviso, como resultado de estudios adicionales o debido a las opiniones expresadas en la audiencia pública. Cualquier alteración o enmienda deberá presentarse para comentarios en el transcurso de la audiencia.</w:t>
      </w:r>
    </w:p>
    <w:p w14:paraId="609B8F96" w14:textId="77777777" w:rsidR="00C70E8A" w:rsidRPr="00C70E8A" w:rsidRDefault="00C70E8A" w:rsidP="00C70E8A">
      <w:pPr>
        <w:jc w:val="both"/>
        <w:rPr>
          <w:sz w:val="22"/>
          <w:szCs w:val="22"/>
          <w:lang w:val="es-419"/>
        </w:rPr>
      </w:pPr>
    </w:p>
    <w:p w14:paraId="4AE054F8" w14:textId="1EDB8C8C" w:rsidR="00C70E8A" w:rsidRPr="00C70E8A" w:rsidRDefault="00C70E8A" w:rsidP="00C70E8A">
      <w:pPr>
        <w:jc w:val="both"/>
        <w:rPr>
          <w:sz w:val="22"/>
          <w:szCs w:val="22"/>
          <w:lang w:val="es-419"/>
        </w:rPr>
      </w:pPr>
      <w:r w:rsidRPr="00C70E8A">
        <w:rPr>
          <w:sz w:val="22"/>
          <w:szCs w:val="22"/>
          <w:lang w:val="es-419"/>
        </w:rPr>
        <w:t xml:space="preserve">Las enmiendas propuestas se pueden examinar y copiar con costo en la Oficina del Secretario Municipal, </w:t>
      </w:r>
      <w:r w:rsidR="001F0287">
        <w:rPr>
          <w:sz w:val="22"/>
          <w:szCs w:val="22"/>
          <w:lang w:val="es-419"/>
        </w:rPr>
        <w:t>City Hall</w:t>
      </w:r>
      <w:r w:rsidRPr="00C70E8A">
        <w:rPr>
          <w:sz w:val="22"/>
          <w:szCs w:val="22"/>
          <w:lang w:val="es-419"/>
        </w:rPr>
        <w:t>, 580 Broad Street, Central Falls, o en http://www.centralfallsri.us/city_council_meetings.</w:t>
      </w:r>
    </w:p>
    <w:p w14:paraId="1B288204" w14:textId="77777777" w:rsidR="00C70E8A" w:rsidRPr="00C70E8A" w:rsidRDefault="00C70E8A" w:rsidP="00C70E8A">
      <w:pPr>
        <w:jc w:val="both"/>
        <w:rPr>
          <w:sz w:val="22"/>
          <w:szCs w:val="22"/>
          <w:lang w:val="es-419"/>
        </w:rPr>
      </w:pPr>
    </w:p>
    <w:p w14:paraId="7C1097B6" w14:textId="24A4EC5D" w:rsidR="00C70E8A" w:rsidRPr="00C70E8A" w:rsidRDefault="00C70E8A" w:rsidP="00C70E8A">
      <w:pPr>
        <w:jc w:val="both"/>
        <w:rPr>
          <w:sz w:val="22"/>
          <w:szCs w:val="22"/>
          <w:lang w:val="es-419"/>
        </w:rPr>
      </w:pPr>
      <w:r w:rsidRPr="00C70E8A">
        <w:rPr>
          <w:sz w:val="22"/>
          <w:szCs w:val="22"/>
          <w:lang w:val="es-419"/>
        </w:rPr>
        <w:t xml:space="preserve">Se </w:t>
      </w:r>
      <w:r w:rsidR="008813D8" w:rsidRPr="00C70E8A">
        <w:rPr>
          <w:sz w:val="22"/>
          <w:szCs w:val="22"/>
          <w:lang w:val="es-419"/>
        </w:rPr>
        <w:t>invoca</w:t>
      </w:r>
      <w:r w:rsidRPr="00C70E8A">
        <w:rPr>
          <w:sz w:val="22"/>
          <w:szCs w:val="22"/>
          <w:lang w:val="es-419"/>
        </w:rPr>
        <w:t xml:space="preserve"> respetuosamente a las personas interesadas en lo anterior que se encuentren presentes en el momento y lugar para ser oídos sobre el mismo. Comuníquese con la oficina de la Secretaria Municipal al 727-7400 para obtener ayuda o preguntas sobre esta audiencia.</w:t>
      </w:r>
    </w:p>
    <w:p w14:paraId="23990D2A" w14:textId="2BFDC560" w:rsidR="00C70E8A" w:rsidRPr="00C70E8A" w:rsidRDefault="00C70E8A" w:rsidP="00C70E8A">
      <w:pPr>
        <w:jc w:val="both"/>
        <w:rPr>
          <w:sz w:val="22"/>
          <w:szCs w:val="22"/>
          <w:lang w:val="es-419"/>
        </w:rPr>
      </w:pPr>
    </w:p>
    <w:p w14:paraId="1A70F1DD" w14:textId="5D4FC928" w:rsidR="00C70E8A" w:rsidRPr="00C70E8A" w:rsidRDefault="00C70E8A" w:rsidP="00C70E8A">
      <w:pPr>
        <w:jc w:val="both"/>
        <w:rPr>
          <w:sz w:val="22"/>
          <w:szCs w:val="22"/>
          <w:lang w:val="es-419"/>
        </w:rPr>
      </w:pPr>
      <w:r w:rsidRPr="00C70E8A">
        <w:rPr>
          <w:sz w:val="22"/>
          <w:szCs w:val="22"/>
          <w:lang w:val="es-419"/>
        </w:rPr>
        <w:t xml:space="preserve">Por orden del </w:t>
      </w:r>
      <w:r w:rsidR="00073227">
        <w:rPr>
          <w:sz w:val="22"/>
          <w:szCs w:val="22"/>
          <w:lang w:val="es-419"/>
        </w:rPr>
        <w:t>Concejo Municipal</w:t>
      </w:r>
      <w:r w:rsidRPr="00C70E8A">
        <w:rPr>
          <w:sz w:val="22"/>
          <w:szCs w:val="22"/>
          <w:lang w:val="es-419"/>
        </w:rPr>
        <w:t xml:space="preserve">. </w:t>
      </w:r>
      <w:r w:rsidR="001F0287">
        <w:rPr>
          <w:sz w:val="22"/>
          <w:szCs w:val="22"/>
          <w:lang w:val="es-419"/>
        </w:rPr>
        <w:tab/>
      </w:r>
      <w:r w:rsidRPr="00C70E8A">
        <w:rPr>
          <w:sz w:val="22"/>
          <w:szCs w:val="22"/>
          <w:lang w:val="es-419"/>
        </w:rPr>
        <w:t>Alberto DeBurgo, Secretario Municipal</w:t>
      </w:r>
    </w:p>
    <w:sectPr w:rsidR="00C70E8A" w:rsidRPr="00C70E8A" w:rsidSect="00EE56CD">
      <w:pgSz w:w="12240" w:h="15840" w:code="1"/>
      <w:pgMar w:top="360" w:right="720" w:bottom="27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FA52" w14:textId="77777777" w:rsidR="002D2E08" w:rsidRDefault="002D2E08" w:rsidP="009C22B4">
      <w:r>
        <w:separator/>
      </w:r>
    </w:p>
  </w:endnote>
  <w:endnote w:type="continuationSeparator" w:id="0">
    <w:p w14:paraId="58BC6E70" w14:textId="77777777" w:rsidR="002D2E08" w:rsidRDefault="002D2E08" w:rsidP="009C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D265" w14:textId="77777777" w:rsidR="002D2E08" w:rsidRDefault="002D2E08" w:rsidP="009C22B4">
      <w:r>
        <w:separator/>
      </w:r>
    </w:p>
  </w:footnote>
  <w:footnote w:type="continuationSeparator" w:id="0">
    <w:p w14:paraId="18ABA844" w14:textId="77777777" w:rsidR="002D2E08" w:rsidRDefault="002D2E08" w:rsidP="009C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031"/>
    <w:multiLevelType w:val="hybridMultilevel"/>
    <w:tmpl w:val="3D381FC2"/>
    <w:lvl w:ilvl="0" w:tplc="2B34DBC8">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72C"/>
    <w:multiLevelType w:val="hybridMultilevel"/>
    <w:tmpl w:val="48C2B300"/>
    <w:lvl w:ilvl="0" w:tplc="3F4C9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451112"/>
    <w:multiLevelType w:val="hybridMultilevel"/>
    <w:tmpl w:val="F0C8E24A"/>
    <w:lvl w:ilvl="0" w:tplc="23D024B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985E59"/>
    <w:multiLevelType w:val="hybridMultilevel"/>
    <w:tmpl w:val="99745C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94F638B"/>
    <w:multiLevelType w:val="hybridMultilevel"/>
    <w:tmpl w:val="B47ED79E"/>
    <w:lvl w:ilvl="0" w:tplc="1D86E24A">
      <w:start w:val="1"/>
      <w:numFmt w:val="upperLetter"/>
      <w:lvlText w:val="(%1)"/>
      <w:lvlJc w:val="left"/>
      <w:pPr>
        <w:tabs>
          <w:tab w:val="num" w:pos="1245"/>
        </w:tabs>
        <w:ind w:left="1245" w:hanging="45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37E345AB"/>
    <w:multiLevelType w:val="hybridMultilevel"/>
    <w:tmpl w:val="F99680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20A69"/>
    <w:multiLevelType w:val="hybridMultilevel"/>
    <w:tmpl w:val="5AACDFD2"/>
    <w:lvl w:ilvl="0" w:tplc="F460C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152FBD"/>
    <w:multiLevelType w:val="hybridMultilevel"/>
    <w:tmpl w:val="646874BA"/>
    <w:lvl w:ilvl="0" w:tplc="6734C48C">
      <w:start w:val="1"/>
      <w:numFmt w:val="upperLetter"/>
      <w:lvlText w:val="%1."/>
      <w:lvlJc w:val="left"/>
      <w:pPr>
        <w:ind w:left="866" w:hanging="359"/>
      </w:pPr>
      <w:rPr>
        <w:rFonts w:ascii="Times New Roman" w:eastAsia="Times New Roman" w:hAnsi="Times New Roman" w:cs="Times New Roman" w:hint="default"/>
        <w:color w:val="2F2F2F"/>
        <w:spacing w:val="-1"/>
        <w:w w:val="103"/>
        <w:sz w:val="22"/>
        <w:szCs w:val="22"/>
      </w:rPr>
    </w:lvl>
    <w:lvl w:ilvl="1" w:tplc="D9900F42">
      <w:numFmt w:val="bullet"/>
      <w:lvlText w:val="•"/>
      <w:lvlJc w:val="left"/>
      <w:pPr>
        <w:ind w:left="1734" w:hanging="359"/>
      </w:pPr>
      <w:rPr>
        <w:rFonts w:hint="default"/>
      </w:rPr>
    </w:lvl>
    <w:lvl w:ilvl="2" w:tplc="A936FFE4">
      <w:numFmt w:val="bullet"/>
      <w:lvlText w:val="•"/>
      <w:lvlJc w:val="left"/>
      <w:pPr>
        <w:ind w:left="2608" w:hanging="359"/>
      </w:pPr>
      <w:rPr>
        <w:rFonts w:hint="default"/>
      </w:rPr>
    </w:lvl>
    <w:lvl w:ilvl="3" w:tplc="55D6503E">
      <w:numFmt w:val="bullet"/>
      <w:lvlText w:val="•"/>
      <w:lvlJc w:val="left"/>
      <w:pPr>
        <w:ind w:left="3482" w:hanging="359"/>
      </w:pPr>
      <w:rPr>
        <w:rFonts w:hint="default"/>
      </w:rPr>
    </w:lvl>
    <w:lvl w:ilvl="4" w:tplc="C1DEE91E">
      <w:numFmt w:val="bullet"/>
      <w:lvlText w:val="•"/>
      <w:lvlJc w:val="left"/>
      <w:pPr>
        <w:ind w:left="4356" w:hanging="359"/>
      </w:pPr>
      <w:rPr>
        <w:rFonts w:hint="default"/>
      </w:rPr>
    </w:lvl>
    <w:lvl w:ilvl="5" w:tplc="B6BE0960">
      <w:numFmt w:val="bullet"/>
      <w:lvlText w:val="•"/>
      <w:lvlJc w:val="left"/>
      <w:pPr>
        <w:ind w:left="5230" w:hanging="359"/>
      </w:pPr>
      <w:rPr>
        <w:rFonts w:hint="default"/>
      </w:rPr>
    </w:lvl>
    <w:lvl w:ilvl="6" w:tplc="E514DF5A">
      <w:numFmt w:val="bullet"/>
      <w:lvlText w:val="•"/>
      <w:lvlJc w:val="left"/>
      <w:pPr>
        <w:ind w:left="6104" w:hanging="359"/>
      </w:pPr>
      <w:rPr>
        <w:rFonts w:hint="default"/>
      </w:rPr>
    </w:lvl>
    <w:lvl w:ilvl="7" w:tplc="2F80B9B8">
      <w:numFmt w:val="bullet"/>
      <w:lvlText w:val="•"/>
      <w:lvlJc w:val="left"/>
      <w:pPr>
        <w:ind w:left="6978" w:hanging="359"/>
      </w:pPr>
      <w:rPr>
        <w:rFonts w:hint="default"/>
      </w:rPr>
    </w:lvl>
    <w:lvl w:ilvl="8" w:tplc="3CE80772">
      <w:numFmt w:val="bullet"/>
      <w:lvlText w:val="•"/>
      <w:lvlJc w:val="left"/>
      <w:pPr>
        <w:ind w:left="7852" w:hanging="359"/>
      </w:pPr>
      <w:rPr>
        <w:rFonts w:hint="default"/>
      </w:rPr>
    </w:lvl>
  </w:abstractNum>
  <w:abstractNum w:abstractNumId="8" w15:restartNumberingAfterBreak="0">
    <w:nsid w:val="44C50059"/>
    <w:multiLevelType w:val="hybridMultilevel"/>
    <w:tmpl w:val="76A64034"/>
    <w:lvl w:ilvl="0" w:tplc="AC54C14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CFD50CD"/>
    <w:multiLevelType w:val="hybridMultilevel"/>
    <w:tmpl w:val="42F08248"/>
    <w:lvl w:ilvl="0" w:tplc="9890426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CA1C79"/>
    <w:multiLevelType w:val="hybridMultilevel"/>
    <w:tmpl w:val="52F62022"/>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78323F0"/>
    <w:multiLevelType w:val="hybridMultilevel"/>
    <w:tmpl w:val="BA2A77B6"/>
    <w:lvl w:ilvl="0" w:tplc="F4843794">
      <w:start w:val="1"/>
      <w:numFmt w:val="upperLetter"/>
      <w:lvlText w:val="%1."/>
      <w:lvlJc w:val="left"/>
      <w:pPr>
        <w:ind w:left="820" w:hanging="354"/>
      </w:pPr>
      <w:rPr>
        <w:rFonts w:hint="default"/>
        <w:spacing w:val="-1"/>
        <w:w w:val="110"/>
      </w:rPr>
    </w:lvl>
    <w:lvl w:ilvl="1" w:tplc="78F2649E">
      <w:numFmt w:val="bullet"/>
      <w:lvlText w:val="•"/>
      <w:lvlJc w:val="left"/>
      <w:pPr>
        <w:ind w:left="1698" w:hanging="354"/>
      </w:pPr>
      <w:rPr>
        <w:rFonts w:hint="default"/>
      </w:rPr>
    </w:lvl>
    <w:lvl w:ilvl="2" w:tplc="A18AA694">
      <w:numFmt w:val="bullet"/>
      <w:lvlText w:val="•"/>
      <w:lvlJc w:val="left"/>
      <w:pPr>
        <w:ind w:left="2576" w:hanging="354"/>
      </w:pPr>
      <w:rPr>
        <w:rFonts w:hint="default"/>
      </w:rPr>
    </w:lvl>
    <w:lvl w:ilvl="3" w:tplc="F47CE66A">
      <w:numFmt w:val="bullet"/>
      <w:lvlText w:val="•"/>
      <w:lvlJc w:val="left"/>
      <w:pPr>
        <w:ind w:left="3454" w:hanging="354"/>
      </w:pPr>
      <w:rPr>
        <w:rFonts w:hint="default"/>
      </w:rPr>
    </w:lvl>
    <w:lvl w:ilvl="4" w:tplc="35E612C2">
      <w:numFmt w:val="bullet"/>
      <w:lvlText w:val="•"/>
      <w:lvlJc w:val="left"/>
      <w:pPr>
        <w:ind w:left="4332" w:hanging="354"/>
      </w:pPr>
      <w:rPr>
        <w:rFonts w:hint="default"/>
      </w:rPr>
    </w:lvl>
    <w:lvl w:ilvl="5" w:tplc="EB304BA0">
      <w:numFmt w:val="bullet"/>
      <w:lvlText w:val="•"/>
      <w:lvlJc w:val="left"/>
      <w:pPr>
        <w:ind w:left="5210" w:hanging="354"/>
      </w:pPr>
      <w:rPr>
        <w:rFonts w:hint="default"/>
      </w:rPr>
    </w:lvl>
    <w:lvl w:ilvl="6" w:tplc="B11AB92C">
      <w:numFmt w:val="bullet"/>
      <w:lvlText w:val="•"/>
      <w:lvlJc w:val="left"/>
      <w:pPr>
        <w:ind w:left="6088" w:hanging="354"/>
      </w:pPr>
      <w:rPr>
        <w:rFonts w:hint="default"/>
      </w:rPr>
    </w:lvl>
    <w:lvl w:ilvl="7" w:tplc="4C781F6C">
      <w:numFmt w:val="bullet"/>
      <w:lvlText w:val="•"/>
      <w:lvlJc w:val="left"/>
      <w:pPr>
        <w:ind w:left="6966" w:hanging="354"/>
      </w:pPr>
      <w:rPr>
        <w:rFonts w:hint="default"/>
      </w:rPr>
    </w:lvl>
    <w:lvl w:ilvl="8" w:tplc="F5125318">
      <w:numFmt w:val="bullet"/>
      <w:lvlText w:val="•"/>
      <w:lvlJc w:val="left"/>
      <w:pPr>
        <w:ind w:left="7844" w:hanging="354"/>
      </w:pPr>
      <w:rPr>
        <w:rFonts w:hint="default"/>
      </w:rPr>
    </w:lvl>
  </w:abstractNum>
  <w:abstractNum w:abstractNumId="12" w15:restartNumberingAfterBreak="0">
    <w:nsid w:val="794531B5"/>
    <w:multiLevelType w:val="hybridMultilevel"/>
    <w:tmpl w:val="646874BA"/>
    <w:lvl w:ilvl="0" w:tplc="6734C48C">
      <w:start w:val="1"/>
      <w:numFmt w:val="upperLetter"/>
      <w:lvlText w:val="%1."/>
      <w:lvlJc w:val="left"/>
      <w:pPr>
        <w:ind w:left="866" w:hanging="359"/>
      </w:pPr>
      <w:rPr>
        <w:rFonts w:ascii="Times New Roman" w:eastAsia="Times New Roman" w:hAnsi="Times New Roman" w:cs="Times New Roman" w:hint="default"/>
        <w:color w:val="2F2F2F"/>
        <w:spacing w:val="-1"/>
        <w:w w:val="103"/>
        <w:sz w:val="22"/>
        <w:szCs w:val="22"/>
      </w:rPr>
    </w:lvl>
    <w:lvl w:ilvl="1" w:tplc="D9900F42">
      <w:numFmt w:val="bullet"/>
      <w:lvlText w:val="•"/>
      <w:lvlJc w:val="left"/>
      <w:pPr>
        <w:ind w:left="1734" w:hanging="359"/>
      </w:pPr>
      <w:rPr>
        <w:rFonts w:hint="default"/>
      </w:rPr>
    </w:lvl>
    <w:lvl w:ilvl="2" w:tplc="A936FFE4">
      <w:numFmt w:val="bullet"/>
      <w:lvlText w:val="•"/>
      <w:lvlJc w:val="left"/>
      <w:pPr>
        <w:ind w:left="2608" w:hanging="359"/>
      </w:pPr>
      <w:rPr>
        <w:rFonts w:hint="default"/>
      </w:rPr>
    </w:lvl>
    <w:lvl w:ilvl="3" w:tplc="55D6503E">
      <w:numFmt w:val="bullet"/>
      <w:lvlText w:val="•"/>
      <w:lvlJc w:val="left"/>
      <w:pPr>
        <w:ind w:left="3482" w:hanging="359"/>
      </w:pPr>
      <w:rPr>
        <w:rFonts w:hint="default"/>
      </w:rPr>
    </w:lvl>
    <w:lvl w:ilvl="4" w:tplc="C1DEE91E">
      <w:numFmt w:val="bullet"/>
      <w:lvlText w:val="•"/>
      <w:lvlJc w:val="left"/>
      <w:pPr>
        <w:ind w:left="4356" w:hanging="359"/>
      </w:pPr>
      <w:rPr>
        <w:rFonts w:hint="default"/>
      </w:rPr>
    </w:lvl>
    <w:lvl w:ilvl="5" w:tplc="B6BE0960">
      <w:numFmt w:val="bullet"/>
      <w:lvlText w:val="•"/>
      <w:lvlJc w:val="left"/>
      <w:pPr>
        <w:ind w:left="5230" w:hanging="359"/>
      </w:pPr>
      <w:rPr>
        <w:rFonts w:hint="default"/>
      </w:rPr>
    </w:lvl>
    <w:lvl w:ilvl="6" w:tplc="E514DF5A">
      <w:numFmt w:val="bullet"/>
      <w:lvlText w:val="•"/>
      <w:lvlJc w:val="left"/>
      <w:pPr>
        <w:ind w:left="6104" w:hanging="359"/>
      </w:pPr>
      <w:rPr>
        <w:rFonts w:hint="default"/>
      </w:rPr>
    </w:lvl>
    <w:lvl w:ilvl="7" w:tplc="2F80B9B8">
      <w:numFmt w:val="bullet"/>
      <w:lvlText w:val="•"/>
      <w:lvlJc w:val="left"/>
      <w:pPr>
        <w:ind w:left="6978" w:hanging="359"/>
      </w:pPr>
      <w:rPr>
        <w:rFonts w:hint="default"/>
      </w:rPr>
    </w:lvl>
    <w:lvl w:ilvl="8" w:tplc="3CE80772">
      <w:numFmt w:val="bullet"/>
      <w:lvlText w:val="•"/>
      <w:lvlJc w:val="left"/>
      <w:pPr>
        <w:ind w:left="7852" w:hanging="359"/>
      </w:pPr>
      <w:rPr>
        <w:rFonts w:hint="default"/>
      </w:rPr>
    </w:lvl>
  </w:abstractNum>
  <w:num w:numId="1" w16cid:durableId="1294559089">
    <w:abstractNumId w:val="6"/>
  </w:num>
  <w:num w:numId="2" w16cid:durableId="371808524">
    <w:abstractNumId w:val="10"/>
  </w:num>
  <w:num w:numId="3" w16cid:durableId="1099644826">
    <w:abstractNumId w:val="9"/>
  </w:num>
  <w:num w:numId="4" w16cid:durableId="824200565">
    <w:abstractNumId w:val="1"/>
  </w:num>
  <w:num w:numId="5" w16cid:durableId="1816297160">
    <w:abstractNumId w:val="8"/>
  </w:num>
  <w:num w:numId="6" w16cid:durableId="1277982193">
    <w:abstractNumId w:val="4"/>
  </w:num>
  <w:num w:numId="7" w16cid:durableId="549806126">
    <w:abstractNumId w:val="2"/>
  </w:num>
  <w:num w:numId="8" w16cid:durableId="1569996124">
    <w:abstractNumId w:val="0"/>
  </w:num>
  <w:num w:numId="9" w16cid:durableId="226452937">
    <w:abstractNumId w:val="5"/>
  </w:num>
  <w:num w:numId="10" w16cid:durableId="1358001320">
    <w:abstractNumId w:val="3"/>
  </w:num>
  <w:num w:numId="11" w16cid:durableId="602806113">
    <w:abstractNumId w:val="7"/>
  </w:num>
  <w:num w:numId="12" w16cid:durableId="286012018">
    <w:abstractNumId w:val="12"/>
  </w:num>
  <w:num w:numId="13" w16cid:durableId="224729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1A"/>
    <w:rsid w:val="000066E0"/>
    <w:rsid w:val="00014973"/>
    <w:rsid w:val="00016031"/>
    <w:rsid w:val="000244AC"/>
    <w:rsid w:val="00035CFD"/>
    <w:rsid w:val="000627C8"/>
    <w:rsid w:val="00073227"/>
    <w:rsid w:val="0007705B"/>
    <w:rsid w:val="000865DE"/>
    <w:rsid w:val="000B2376"/>
    <w:rsid w:val="000D3F88"/>
    <w:rsid w:val="00130BCA"/>
    <w:rsid w:val="001542C8"/>
    <w:rsid w:val="001546E2"/>
    <w:rsid w:val="00160741"/>
    <w:rsid w:val="0017377C"/>
    <w:rsid w:val="001B23ED"/>
    <w:rsid w:val="001B6CCE"/>
    <w:rsid w:val="001E4518"/>
    <w:rsid w:val="001F0287"/>
    <w:rsid w:val="001F0BAA"/>
    <w:rsid w:val="00275D96"/>
    <w:rsid w:val="002874FD"/>
    <w:rsid w:val="00290EDE"/>
    <w:rsid w:val="002A6BBB"/>
    <w:rsid w:val="002D2E08"/>
    <w:rsid w:val="002D45D8"/>
    <w:rsid w:val="002E0070"/>
    <w:rsid w:val="002E482A"/>
    <w:rsid w:val="002F67AB"/>
    <w:rsid w:val="00301321"/>
    <w:rsid w:val="003174EE"/>
    <w:rsid w:val="0032214F"/>
    <w:rsid w:val="00334CA9"/>
    <w:rsid w:val="0038797E"/>
    <w:rsid w:val="003C2311"/>
    <w:rsid w:val="00405CFA"/>
    <w:rsid w:val="004479F7"/>
    <w:rsid w:val="00483709"/>
    <w:rsid w:val="004D0740"/>
    <w:rsid w:val="004E0034"/>
    <w:rsid w:val="004E2143"/>
    <w:rsid w:val="004E260D"/>
    <w:rsid w:val="004E39EA"/>
    <w:rsid w:val="00522870"/>
    <w:rsid w:val="005570C6"/>
    <w:rsid w:val="005A3BB1"/>
    <w:rsid w:val="005B0BB8"/>
    <w:rsid w:val="005B2317"/>
    <w:rsid w:val="005B39E7"/>
    <w:rsid w:val="005B5291"/>
    <w:rsid w:val="005B7C3E"/>
    <w:rsid w:val="005C3A57"/>
    <w:rsid w:val="005C3ACA"/>
    <w:rsid w:val="005C7CEF"/>
    <w:rsid w:val="005E5F14"/>
    <w:rsid w:val="005F468E"/>
    <w:rsid w:val="006076B0"/>
    <w:rsid w:val="00615D07"/>
    <w:rsid w:val="00617CEF"/>
    <w:rsid w:val="00636F5B"/>
    <w:rsid w:val="00640668"/>
    <w:rsid w:val="00642094"/>
    <w:rsid w:val="00645B61"/>
    <w:rsid w:val="00654717"/>
    <w:rsid w:val="006747BC"/>
    <w:rsid w:val="00696A90"/>
    <w:rsid w:val="006A184B"/>
    <w:rsid w:val="006A5647"/>
    <w:rsid w:val="006E2CF6"/>
    <w:rsid w:val="00705885"/>
    <w:rsid w:val="00732B97"/>
    <w:rsid w:val="00753F3D"/>
    <w:rsid w:val="00765F1D"/>
    <w:rsid w:val="0077225D"/>
    <w:rsid w:val="00776FAE"/>
    <w:rsid w:val="00777A50"/>
    <w:rsid w:val="007871D9"/>
    <w:rsid w:val="007A3A3C"/>
    <w:rsid w:val="007A6417"/>
    <w:rsid w:val="007B20FE"/>
    <w:rsid w:val="007F545B"/>
    <w:rsid w:val="0081779E"/>
    <w:rsid w:val="00836B68"/>
    <w:rsid w:val="00843FFC"/>
    <w:rsid w:val="00852CF0"/>
    <w:rsid w:val="008813D8"/>
    <w:rsid w:val="008821EA"/>
    <w:rsid w:val="008B1448"/>
    <w:rsid w:val="008C4F9A"/>
    <w:rsid w:val="008D3AC1"/>
    <w:rsid w:val="00900FAE"/>
    <w:rsid w:val="00905508"/>
    <w:rsid w:val="00955E67"/>
    <w:rsid w:val="00961227"/>
    <w:rsid w:val="00970E32"/>
    <w:rsid w:val="009858E7"/>
    <w:rsid w:val="00993B9B"/>
    <w:rsid w:val="009A6B2F"/>
    <w:rsid w:val="009B08D2"/>
    <w:rsid w:val="009C1C7B"/>
    <w:rsid w:val="009C22B4"/>
    <w:rsid w:val="00A560FF"/>
    <w:rsid w:val="00A56CE2"/>
    <w:rsid w:val="00A56FC5"/>
    <w:rsid w:val="00A601F7"/>
    <w:rsid w:val="00A73589"/>
    <w:rsid w:val="00A827DB"/>
    <w:rsid w:val="00AB6EB4"/>
    <w:rsid w:val="00AE07DA"/>
    <w:rsid w:val="00AE181A"/>
    <w:rsid w:val="00B212FE"/>
    <w:rsid w:val="00B250D1"/>
    <w:rsid w:val="00B31720"/>
    <w:rsid w:val="00B31DA9"/>
    <w:rsid w:val="00B52821"/>
    <w:rsid w:val="00B70051"/>
    <w:rsid w:val="00B927E3"/>
    <w:rsid w:val="00B93640"/>
    <w:rsid w:val="00BB12D7"/>
    <w:rsid w:val="00BD6092"/>
    <w:rsid w:val="00BE1BE5"/>
    <w:rsid w:val="00BF2822"/>
    <w:rsid w:val="00BF54CB"/>
    <w:rsid w:val="00C05645"/>
    <w:rsid w:val="00C43318"/>
    <w:rsid w:val="00C455C8"/>
    <w:rsid w:val="00C576B0"/>
    <w:rsid w:val="00C63CA9"/>
    <w:rsid w:val="00C70E8A"/>
    <w:rsid w:val="00CA2600"/>
    <w:rsid w:val="00CB2414"/>
    <w:rsid w:val="00CB3B19"/>
    <w:rsid w:val="00CE0AE2"/>
    <w:rsid w:val="00D014BA"/>
    <w:rsid w:val="00D0690B"/>
    <w:rsid w:val="00D32662"/>
    <w:rsid w:val="00D614B1"/>
    <w:rsid w:val="00D76C9F"/>
    <w:rsid w:val="00D82ECF"/>
    <w:rsid w:val="00D97668"/>
    <w:rsid w:val="00DA3734"/>
    <w:rsid w:val="00DD2222"/>
    <w:rsid w:val="00DF09A4"/>
    <w:rsid w:val="00DF1D48"/>
    <w:rsid w:val="00DF56E3"/>
    <w:rsid w:val="00E005B7"/>
    <w:rsid w:val="00E0697D"/>
    <w:rsid w:val="00E210C5"/>
    <w:rsid w:val="00E21EBA"/>
    <w:rsid w:val="00E338BF"/>
    <w:rsid w:val="00E370AD"/>
    <w:rsid w:val="00E66046"/>
    <w:rsid w:val="00E85F91"/>
    <w:rsid w:val="00EA00BC"/>
    <w:rsid w:val="00EA1AF8"/>
    <w:rsid w:val="00EC23E5"/>
    <w:rsid w:val="00EE2E3F"/>
    <w:rsid w:val="00EE56CD"/>
    <w:rsid w:val="00EF5709"/>
    <w:rsid w:val="00F1035B"/>
    <w:rsid w:val="00F32D22"/>
    <w:rsid w:val="00F40875"/>
    <w:rsid w:val="00F5272D"/>
    <w:rsid w:val="00F528EF"/>
    <w:rsid w:val="00FC4764"/>
    <w:rsid w:val="00FE3C93"/>
    <w:rsid w:val="00FF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5674D0F"/>
  <w15:chartTrackingRefBased/>
  <w15:docId w15:val="{AE37A5BF-5DA8-477C-AB08-5A4E4CEF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Indent">
    <w:name w:val="Body Text Indent"/>
    <w:basedOn w:val="Normal"/>
    <w:pPr>
      <w:ind w:left="2160" w:hanging="720"/>
    </w:pPr>
    <w:rPr>
      <w:sz w:val="24"/>
      <w:szCs w:val="24"/>
      <w:u w:val="single"/>
    </w:rPr>
  </w:style>
  <w:style w:type="paragraph" w:styleId="BodyTextIndent2">
    <w:name w:val="Body Text Indent 2"/>
    <w:basedOn w:val="Normal"/>
    <w:pPr>
      <w:ind w:left="1440" w:hanging="720"/>
    </w:pPr>
    <w:rPr>
      <w:sz w:val="24"/>
      <w:szCs w:val="24"/>
      <w:u w:val="single"/>
    </w:rPr>
  </w:style>
  <w:style w:type="paragraph" w:styleId="BodyText2">
    <w:name w:val="Body Text 2"/>
    <w:basedOn w:val="Normal"/>
    <w:rsid w:val="007B20FE"/>
    <w:pPr>
      <w:spacing w:after="120" w:line="480" w:lineRule="auto"/>
    </w:pPr>
  </w:style>
  <w:style w:type="paragraph" w:styleId="BalloonText">
    <w:name w:val="Balloon Text"/>
    <w:basedOn w:val="Normal"/>
    <w:semiHidden/>
    <w:rsid w:val="00D32662"/>
    <w:rPr>
      <w:rFonts w:ascii="Tahoma" w:hAnsi="Tahoma" w:cs="Tahoma"/>
      <w:sz w:val="16"/>
      <w:szCs w:val="16"/>
    </w:rPr>
  </w:style>
  <w:style w:type="paragraph" w:styleId="Header">
    <w:name w:val="header"/>
    <w:basedOn w:val="Normal"/>
    <w:link w:val="HeaderChar"/>
    <w:rsid w:val="009C22B4"/>
    <w:pPr>
      <w:tabs>
        <w:tab w:val="center" w:pos="4680"/>
        <w:tab w:val="right" w:pos="9360"/>
      </w:tabs>
    </w:pPr>
  </w:style>
  <w:style w:type="character" w:customStyle="1" w:styleId="HeaderChar">
    <w:name w:val="Header Char"/>
    <w:basedOn w:val="DefaultParagraphFont"/>
    <w:link w:val="Header"/>
    <w:rsid w:val="009C22B4"/>
  </w:style>
  <w:style w:type="paragraph" w:styleId="Footer">
    <w:name w:val="footer"/>
    <w:basedOn w:val="Normal"/>
    <w:link w:val="FooterChar"/>
    <w:rsid w:val="009C22B4"/>
    <w:pPr>
      <w:tabs>
        <w:tab w:val="center" w:pos="4680"/>
        <w:tab w:val="right" w:pos="9360"/>
      </w:tabs>
    </w:pPr>
  </w:style>
  <w:style w:type="character" w:customStyle="1" w:styleId="FooterChar">
    <w:name w:val="Footer Char"/>
    <w:basedOn w:val="DefaultParagraphFont"/>
    <w:link w:val="Footer"/>
    <w:rsid w:val="009C22B4"/>
  </w:style>
  <w:style w:type="character" w:customStyle="1" w:styleId="BodyTextChar">
    <w:name w:val="Body Text Char"/>
    <w:link w:val="BodyText"/>
    <w:rsid w:val="00BF54CB"/>
    <w:rPr>
      <w:sz w:val="24"/>
    </w:rPr>
  </w:style>
  <w:style w:type="table" w:styleId="TableGrid">
    <w:name w:val="Table Grid"/>
    <w:basedOn w:val="TableNormal"/>
    <w:uiPriority w:val="59"/>
    <w:rsid w:val="00B31D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1DA9"/>
    <w:rPr>
      <w:color w:val="0000FF"/>
      <w:u w:val="single"/>
      <w:shd w:val="clear" w:color="auto" w:fill="auto"/>
    </w:rPr>
  </w:style>
  <w:style w:type="paragraph" w:styleId="ListParagraph">
    <w:name w:val="List Paragraph"/>
    <w:basedOn w:val="Normal"/>
    <w:uiPriority w:val="34"/>
    <w:qFormat/>
    <w:rsid w:val="004479F7"/>
    <w:pPr>
      <w:ind w:left="720"/>
    </w:pPr>
  </w:style>
  <w:style w:type="character" w:styleId="UnresolvedMention">
    <w:name w:val="Unresolved Mention"/>
    <w:basedOn w:val="DefaultParagraphFont"/>
    <w:uiPriority w:val="99"/>
    <w:semiHidden/>
    <w:unhideWhenUsed/>
    <w:rsid w:val="000D3F88"/>
    <w:rPr>
      <w:color w:val="605E5C"/>
      <w:shd w:val="clear" w:color="auto" w:fill="E1DFDD"/>
    </w:rPr>
  </w:style>
  <w:style w:type="paragraph" w:customStyle="1" w:styleId="Paragraph1">
    <w:name w:val="Paragraph 1"/>
    <w:basedOn w:val="Normal"/>
    <w:uiPriority w:val="7"/>
    <w:qFormat/>
    <w:rsid w:val="007A6417"/>
    <w:pPr>
      <w:spacing w:before="40" w:after="120"/>
      <w:ind w:firstLine="475"/>
    </w:pPr>
    <w:rPr>
      <w:rFonts w:ascii="Calibri" w:eastAsiaTheme="minorHAnsi" w:hAnsi="Calibr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4803">
      <w:bodyDiv w:val="1"/>
      <w:marLeft w:val="0"/>
      <w:marRight w:val="0"/>
      <w:marTop w:val="0"/>
      <w:marBottom w:val="0"/>
      <w:divBdr>
        <w:top w:val="none" w:sz="0" w:space="0" w:color="auto"/>
        <w:left w:val="none" w:sz="0" w:space="0" w:color="auto"/>
        <w:bottom w:val="none" w:sz="0" w:space="0" w:color="auto"/>
        <w:right w:val="none" w:sz="0" w:space="0" w:color="auto"/>
      </w:divBdr>
      <w:divsChild>
        <w:div w:id="1212185163">
          <w:marLeft w:val="0"/>
          <w:marRight w:val="0"/>
          <w:marTop w:val="0"/>
          <w:marBottom w:val="0"/>
          <w:divBdr>
            <w:top w:val="none" w:sz="0" w:space="0" w:color="auto"/>
            <w:left w:val="none" w:sz="0" w:space="0" w:color="auto"/>
            <w:bottom w:val="none" w:sz="0" w:space="0" w:color="auto"/>
            <w:right w:val="none" w:sz="0" w:space="0" w:color="auto"/>
          </w:divBdr>
          <w:divsChild>
            <w:div w:id="1056976037">
              <w:marLeft w:val="0"/>
              <w:marRight w:val="0"/>
              <w:marTop w:val="0"/>
              <w:marBottom w:val="0"/>
              <w:divBdr>
                <w:top w:val="none" w:sz="0" w:space="0" w:color="auto"/>
                <w:left w:val="none" w:sz="0" w:space="0" w:color="auto"/>
                <w:bottom w:val="none" w:sz="0" w:space="0" w:color="auto"/>
                <w:right w:val="none" w:sz="0" w:space="0" w:color="auto"/>
              </w:divBdr>
              <w:divsChild>
                <w:div w:id="233592269">
                  <w:marLeft w:val="0"/>
                  <w:marRight w:val="0"/>
                  <w:marTop w:val="0"/>
                  <w:marBottom w:val="0"/>
                  <w:divBdr>
                    <w:top w:val="none" w:sz="0" w:space="0" w:color="auto"/>
                    <w:left w:val="none" w:sz="0" w:space="0" w:color="auto"/>
                    <w:bottom w:val="none" w:sz="0" w:space="0" w:color="auto"/>
                    <w:right w:val="none" w:sz="0" w:space="0" w:color="auto"/>
                  </w:divBdr>
                  <w:divsChild>
                    <w:div w:id="1768109994">
                      <w:marLeft w:val="0"/>
                      <w:marRight w:val="0"/>
                      <w:marTop w:val="0"/>
                      <w:marBottom w:val="0"/>
                      <w:divBdr>
                        <w:top w:val="none" w:sz="0" w:space="0" w:color="auto"/>
                        <w:left w:val="none" w:sz="0" w:space="0" w:color="auto"/>
                        <w:bottom w:val="none" w:sz="0" w:space="0" w:color="auto"/>
                        <w:right w:val="none" w:sz="0" w:space="0" w:color="auto"/>
                      </w:divBdr>
                      <w:divsChild>
                        <w:div w:id="1558709074">
                          <w:marLeft w:val="0"/>
                          <w:marRight w:val="0"/>
                          <w:marTop w:val="0"/>
                          <w:marBottom w:val="0"/>
                          <w:divBdr>
                            <w:top w:val="none" w:sz="0" w:space="0" w:color="auto"/>
                            <w:left w:val="none" w:sz="0" w:space="0" w:color="auto"/>
                            <w:bottom w:val="none" w:sz="0" w:space="0" w:color="auto"/>
                            <w:right w:val="none" w:sz="0" w:space="0" w:color="auto"/>
                          </w:divBdr>
                          <w:divsChild>
                            <w:div w:id="1895503916">
                              <w:marLeft w:val="0"/>
                              <w:marRight w:val="0"/>
                              <w:marTop w:val="60"/>
                              <w:marBottom w:val="0"/>
                              <w:divBdr>
                                <w:top w:val="none" w:sz="0" w:space="0" w:color="auto"/>
                                <w:left w:val="none" w:sz="0" w:space="0" w:color="auto"/>
                                <w:bottom w:val="none" w:sz="0" w:space="0" w:color="auto"/>
                                <w:right w:val="none" w:sz="0" w:space="0" w:color="auto"/>
                              </w:divBdr>
                              <w:divsChild>
                                <w:div w:id="20046240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82390">
      <w:bodyDiv w:val="1"/>
      <w:marLeft w:val="0"/>
      <w:marRight w:val="0"/>
      <w:marTop w:val="0"/>
      <w:marBottom w:val="0"/>
      <w:divBdr>
        <w:top w:val="none" w:sz="0" w:space="0" w:color="auto"/>
        <w:left w:val="none" w:sz="0" w:space="0" w:color="auto"/>
        <w:bottom w:val="none" w:sz="0" w:space="0" w:color="auto"/>
        <w:right w:val="none" w:sz="0" w:space="0" w:color="auto"/>
      </w:divBdr>
    </w:div>
    <w:div w:id="10400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Pawtucket City Planning Commission</vt:lpstr>
    </vt:vector>
  </TitlesOfParts>
  <Company>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Pawtucket City Planning Commission</dc:title>
  <dc:subject/>
  <dc:creator>Olivia Martins</dc:creator>
  <cp:keywords/>
  <dc:description/>
  <cp:lastModifiedBy>Zuleyma Gomez</cp:lastModifiedBy>
  <cp:revision>2</cp:revision>
  <cp:lastPrinted>2024-05-15T15:40:00Z</cp:lastPrinted>
  <dcterms:created xsi:type="dcterms:W3CDTF">2024-05-15T18:59:00Z</dcterms:created>
  <dcterms:modified xsi:type="dcterms:W3CDTF">2024-05-15T18:59:00Z</dcterms:modified>
</cp:coreProperties>
</file>